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98D7" w14:textId="10900F1F" w:rsidR="00FE52EC" w:rsidRPr="004439D0" w:rsidRDefault="00932B30" w:rsidP="004E4AB7">
      <w:pPr>
        <w:jc w:val="center"/>
        <w:rPr>
          <w:rFonts w:ascii="Verdana" w:hAnsi="Verdana" w:cs="Helvetica"/>
          <w:b/>
          <w:i/>
          <w:color w:val="C00000"/>
          <w:sz w:val="22"/>
          <w:szCs w:val="22"/>
        </w:rPr>
      </w:pPr>
      <w:bookmarkStart w:id="0" w:name="_Toc126147374"/>
      <w:bookmarkStart w:id="1" w:name="_Toc126301040"/>
      <w:r w:rsidRPr="004439D0">
        <w:rPr>
          <w:rFonts w:ascii="Verdana" w:hAnsi="Verdana" w:cs="Helvetica"/>
          <w:b/>
          <w:sz w:val="22"/>
          <w:szCs w:val="22"/>
        </w:rPr>
        <w:t>TA</w:t>
      </w:r>
      <w:r w:rsidR="00FE52EC" w:rsidRPr="004439D0">
        <w:rPr>
          <w:rFonts w:ascii="Verdana" w:hAnsi="Verdana" w:cs="Helvetica"/>
          <w:b/>
          <w:sz w:val="22"/>
          <w:szCs w:val="22"/>
        </w:rPr>
        <w:t>BLA DE CONTENIDO</w:t>
      </w:r>
    </w:p>
    <w:p w14:paraId="03832B3A" w14:textId="77777777" w:rsidR="00FE52EC" w:rsidRPr="004439D0" w:rsidRDefault="00FE52EC" w:rsidP="00992EC7">
      <w:pPr>
        <w:ind w:left="360"/>
        <w:jc w:val="both"/>
        <w:rPr>
          <w:rFonts w:ascii="Verdana" w:hAnsi="Verdana" w:cs="Helvetica"/>
          <w:b/>
          <w:sz w:val="22"/>
          <w:szCs w:val="22"/>
        </w:rPr>
      </w:pPr>
    </w:p>
    <w:p w14:paraId="4E49BA35" w14:textId="77777777" w:rsidR="008636B6" w:rsidRPr="004439D0" w:rsidRDefault="008636B6" w:rsidP="00992EC7">
      <w:pPr>
        <w:jc w:val="both"/>
        <w:rPr>
          <w:rFonts w:ascii="Verdana" w:hAnsi="Verdana" w:cs="Helvetica"/>
          <w:sz w:val="22"/>
          <w:szCs w:val="22"/>
        </w:rPr>
      </w:pPr>
    </w:p>
    <w:p w14:paraId="05C1BA51" w14:textId="719897D3" w:rsidR="004E4AB7" w:rsidRPr="004439D0" w:rsidRDefault="0094407F">
      <w:pPr>
        <w:pStyle w:val="TDC1"/>
        <w:rPr>
          <w:rFonts w:ascii="Verdana" w:eastAsiaTheme="minorEastAsia" w:hAnsi="Verdana" w:cstheme="minorBidi"/>
          <w:b w:val="0"/>
          <w:bCs/>
          <w:sz w:val="20"/>
          <w:lang w:val="es-CO" w:eastAsia="es-CO"/>
        </w:rPr>
      </w:pPr>
      <w:r w:rsidRPr="004439D0">
        <w:rPr>
          <w:rFonts w:ascii="Verdana" w:hAnsi="Verdana" w:cs="Helvetica"/>
          <w:sz w:val="20"/>
        </w:rPr>
        <w:fldChar w:fldCharType="begin"/>
      </w:r>
      <w:r w:rsidRPr="004439D0">
        <w:rPr>
          <w:rFonts w:ascii="Verdana" w:hAnsi="Verdana" w:cs="Helvetica"/>
          <w:sz w:val="20"/>
        </w:rPr>
        <w:instrText xml:space="preserve"> TOC \o "1-3" \h \z \u </w:instrText>
      </w:r>
      <w:r w:rsidRPr="004439D0">
        <w:rPr>
          <w:rFonts w:ascii="Verdana" w:hAnsi="Verdana" w:cs="Helvetica"/>
          <w:sz w:val="20"/>
        </w:rPr>
        <w:fldChar w:fldCharType="separate"/>
      </w:r>
      <w:hyperlink w:anchor="_Toc155883030" w:history="1">
        <w:r w:rsidR="004E4AB7" w:rsidRPr="004439D0">
          <w:rPr>
            <w:rStyle w:val="Hipervnculo"/>
            <w:rFonts w:ascii="Verdana" w:hAnsi="Verdana" w:cs="Helvetica"/>
            <w:b w:val="0"/>
            <w:bCs/>
            <w:sz w:val="20"/>
          </w:rPr>
          <w:t>1.</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INTRODUCCIÓN</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_Toc155883030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1</w:t>
        </w:r>
        <w:r w:rsidR="004E4AB7" w:rsidRPr="004439D0">
          <w:rPr>
            <w:rFonts w:ascii="Verdana" w:hAnsi="Verdana"/>
            <w:b w:val="0"/>
            <w:bCs/>
            <w:webHidden/>
            <w:sz w:val="20"/>
          </w:rPr>
          <w:fldChar w:fldCharType="end"/>
        </w:r>
      </w:hyperlink>
    </w:p>
    <w:p w14:paraId="741574F6" w14:textId="0F14EEBB" w:rsidR="004E4AB7" w:rsidRPr="004439D0" w:rsidRDefault="001A499E">
      <w:pPr>
        <w:pStyle w:val="TDC3"/>
        <w:rPr>
          <w:rFonts w:ascii="Verdana" w:eastAsiaTheme="minorEastAsia" w:hAnsi="Verdana" w:cstheme="minorBidi"/>
          <w:lang w:val="es-CO" w:eastAsia="es-CO"/>
        </w:rPr>
      </w:pPr>
      <w:hyperlink w:anchor="_Toc155883031" w:history="1">
        <w:r w:rsidR="004E4AB7" w:rsidRPr="004439D0">
          <w:rPr>
            <w:rStyle w:val="Hipervnculo"/>
            <w:rFonts w:ascii="Verdana" w:hAnsi="Verdana"/>
          </w:rPr>
          <w:t>1.1.</w:t>
        </w:r>
        <w:r w:rsidR="004E4AB7" w:rsidRPr="004439D0">
          <w:rPr>
            <w:rFonts w:ascii="Verdana" w:eastAsiaTheme="minorEastAsia" w:hAnsi="Verdana" w:cstheme="minorBidi"/>
            <w:lang w:val="es-CO" w:eastAsia="es-CO"/>
          </w:rPr>
          <w:tab/>
        </w:r>
        <w:r w:rsidR="004E4AB7" w:rsidRPr="004439D0">
          <w:rPr>
            <w:rStyle w:val="Hipervnculo"/>
            <w:rFonts w:ascii="Verdana" w:hAnsi="Verdana"/>
          </w:rPr>
          <w:t>Antecedentes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_Toc155883031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w:t>
        </w:r>
        <w:r w:rsidR="004E4AB7" w:rsidRPr="004439D0">
          <w:rPr>
            <w:rFonts w:ascii="Verdana" w:hAnsi="Verdana"/>
            <w:webHidden/>
          </w:rPr>
          <w:fldChar w:fldCharType="end"/>
        </w:r>
      </w:hyperlink>
    </w:p>
    <w:p w14:paraId="763502C4" w14:textId="6B6BBB03" w:rsidR="004E4AB7" w:rsidRPr="004439D0" w:rsidRDefault="001A499E">
      <w:pPr>
        <w:pStyle w:val="TDC1"/>
        <w:rPr>
          <w:rFonts w:ascii="Verdana" w:eastAsiaTheme="minorEastAsia" w:hAnsi="Verdana" w:cstheme="minorBidi"/>
          <w:b w:val="0"/>
          <w:bCs/>
          <w:sz w:val="20"/>
          <w:lang w:val="es-CO" w:eastAsia="es-CO"/>
        </w:rPr>
      </w:pPr>
      <w:hyperlink w:anchor="_Toc155883032" w:history="1">
        <w:r w:rsidR="004E4AB7" w:rsidRPr="004439D0">
          <w:rPr>
            <w:rStyle w:val="Hipervnculo"/>
            <w:rFonts w:ascii="Verdana" w:hAnsi="Verdana" w:cs="Helvetica"/>
            <w:b w:val="0"/>
            <w:bCs/>
            <w:sz w:val="20"/>
          </w:rPr>
          <w:t>2.</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OBJETIVO</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_Toc155883032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3</w:t>
        </w:r>
        <w:r w:rsidR="004E4AB7" w:rsidRPr="004439D0">
          <w:rPr>
            <w:rFonts w:ascii="Verdana" w:hAnsi="Verdana"/>
            <w:b w:val="0"/>
            <w:bCs/>
            <w:webHidden/>
            <w:sz w:val="20"/>
          </w:rPr>
          <w:fldChar w:fldCharType="end"/>
        </w:r>
      </w:hyperlink>
    </w:p>
    <w:p w14:paraId="6AB80DB7" w14:textId="4186531C" w:rsidR="004E4AB7" w:rsidRPr="004439D0" w:rsidRDefault="001A499E">
      <w:pPr>
        <w:pStyle w:val="TDC2"/>
        <w:rPr>
          <w:rFonts w:ascii="Verdana" w:eastAsiaTheme="minorEastAsia" w:hAnsi="Verdana" w:cstheme="minorBidi"/>
          <w:bCs/>
          <w:noProof/>
          <w:lang w:val="es-CO" w:eastAsia="es-CO"/>
        </w:rPr>
      </w:pPr>
      <w:hyperlink w:anchor="_Toc155883033" w:history="1">
        <w:r w:rsidR="004E4AB7" w:rsidRPr="004439D0">
          <w:rPr>
            <w:rStyle w:val="Hipervnculo"/>
            <w:rFonts w:ascii="Verdana" w:hAnsi="Verdana" w:cs="Helvetica"/>
            <w:bCs/>
            <w:noProof/>
          </w:rPr>
          <w:t>2.1</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Objetivos Específicos</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_Toc155883033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3</w:t>
        </w:r>
        <w:r w:rsidR="004E4AB7" w:rsidRPr="004439D0">
          <w:rPr>
            <w:rFonts w:ascii="Verdana" w:hAnsi="Verdana"/>
            <w:bCs/>
            <w:noProof/>
            <w:webHidden/>
          </w:rPr>
          <w:fldChar w:fldCharType="end"/>
        </w:r>
      </w:hyperlink>
    </w:p>
    <w:p w14:paraId="31F310B4" w14:textId="0990C617" w:rsidR="004E4AB7" w:rsidRPr="004439D0" w:rsidRDefault="001A499E">
      <w:pPr>
        <w:pStyle w:val="TDC1"/>
        <w:rPr>
          <w:rFonts w:ascii="Verdana" w:eastAsiaTheme="minorEastAsia" w:hAnsi="Verdana" w:cstheme="minorBidi"/>
          <w:b w:val="0"/>
          <w:bCs/>
          <w:sz w:val="20"/>
          <w:lang w:val="es-CO" w:eastAsia="es-CO"/>
        </w:rPr>
      </w:pPr>
      <w:hyperlink w:anchor="_Toc155883034" w:history="1">
        <w:r w:rsidR="004E4AB7" w:rsidRPr="004439D0">
          <w:rPr>
            <w:rStyle w:val="Hipervnculo"/>
            <w:rFonts w:ascii="Verdana" w:hAnsi="Verdana" w:cs="Helvetica"/>
            <w:b w:val="0"/>
            <w:bCs/>
            <w:sz w:val="20"/>
          </w:rPr>
          <w:t>3</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ALCANCE</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_Toc155883034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4</w:t>
        </w:r>
        <w:r w:rsidR="004E4AB7" w:rsidRPr="004439D0">
          <w:rPr>
            <w:rFonts w:ascii="Verdana" w:hAnsi="Verdana"/>
            <w:b w:val="0"/>
            <w:bCs/>
            <w:webHidden/>
            <w:sz w:val="20"/>
          </w:rPr>
          <w:fldChar w:fldCharType="end"/>
        </w:r>
      </w:hyperlink>
    </w:p>
    <w:p w14:paraId="54D4A075" w14:textId="125997CE" w:rsidR="004E4AB7" w:rsidRPr="004439D0" w:rsidRDefault="001A499E">
      <w:pPr>
        <w:pStyle w:val="TDC1"/>
        <w:rPr>
          <w:rFonts w:ascii="Verdana" w:eastAsiaTheme="minorEastAsia" w:hAnsi="Verdana" w:cstheme="minorBidi"/>
          <w:b w:val="0"/>
          <w:bCs/>
          <w:sz w:val="20"/>
          <w:lang w:val="es-CO" w:eastAsia="es-CO"/>
        </w:rPr>
      </w:pPr>
      <w:hyperlink w:anchor="_Toc155883035" w:history="1">
        <w:r w:rsidR="004E4AB7" w:rsidRPr="004439D0">
          <w:rPr>
            <w:rStyle w:val="Hipervnculo"/>
            <w:rFonts w:ascii="Verdana" w:hAnsi="Verdana" w:cs="Helvetica"/>
            <w:b w:val="0"/>
            <w:bCs/>
            <w:sz w:val="20"/>
          </w:rPr>
          <w:t>4</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PRODUCTOS ESPERADOS</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_Toc155883035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4</w:t>
        </w:r>
        <w:r w:rsidR="004E4AB7" w:rsidRPr="004439D0">
          <w:rPr>
            <w:rFonts w:ascii="Verdana" w:hAnsi="Verdana"/>
            <w:b w:val="0"/>
            <w:bCs/>
            <w:webHidden/>
            <w:sz w:val="20"/>
          </w:rPr>
          <w:fldChar w:fldCharType="end"/>
        </w:r>
      </w:hyperlink>
    </w:p>
    <w:p w14:paraId="7C1C84E3" w14:textId="3A690191" w:rsidR="004E4AB7" w:rsidRPr="004439D0" w:rsidRDefault="001A499E">
      <w:pPr>
        <w:pStyle w:val="TDC1"/>
        <w:rPr>
          <w:rFonts w:ascii="Verdana" w:eastAsiaTheme="minorEastAsia" w:hAnsi="Verdana" w:cstheme="minorBidi"/>
          <w:b w:val="0"/>
          <w:bCs/>
          <w:sz w:val="20"/>
          <w:lang w:val="es-CO" w:eastAsia="es-CO"/>
        </w:rPr>
      </w:pPr>
      <w:hyperlink w:anchor="_Toc155883036" w:history="1">
        <w:r w:rsidR="004E4AB7" w:rsidRPr="004439D0">
          <w:rPr>
            <w:rStyle w:val="Hipervnculo"/>
            <w:rFonts w:ascii="Verdana" w:hAnsi="Verdana" w:cs="Helvetica"/>
            <w:b w:val="0"/>
            <w:bCs/>
            <w:sz w:val="20"/>
          </w:rPr>
          <w:t>5</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TÉRMINOS Y DEFINICIONES</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_Toc155883036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5</w:t>
        </w:r>
        <w:r w:rsidR="004E4AB7" w:rsidRPr="004439D0">
          <w:rPr>
            <w:rFonts w:ascii="Verdana" w:hAnsi="Verdana"/>
            <w:b w:val="0"/>
            <w:bCs/>
            <w:webHidden/>
            <w:sz w:val="20"/>
          </w:rPr>
          <w:fldChar w:fldCharType="end"/>
        </w:r>
      </w:hyperlink>
    </w:p>
    <w:p w14:paraId="6D22F73E" w14:textId="215C0468" w:rsidR="004E4AB7" w:rsidRPr="004439D0" w:rsidRDefault="001A499E">
      <w:pPr>
        <w:pStyle w:val="TDC3"/>
        <w:rPr>
          <w:rFonts w:ascii="Verdana" w:eastAsiaTheme="minorEastAsia" w:hAnsi="Verdana" w:cstheme="minorBidi"/>
          <w:lang w:val="es-CO" w:eastAsia="es-CO"/>
        </w:rPr>
      </w:pPr>
      <w:hyperlink w:anchor="_Toc155883037" w:history="1">
        <w:r w:rsidR="004E4AB7" w:rsidRPr="004439D0">
          <w:rPr>
            <w:rStyle w:val="Hipervnculo"/>
            <w:rFonts w:ascii="Verdana" w:hAnsi="Verdana"/>
          </w:rPr>
          <w:t>5.1</w:t>
        </w:r>
        <w:r w:rsidR="004E4AB7" w:rsidRPr="004439D0">
          <w:rPr>
            <w:rFonts w:ascii="Verdana" w:eastAsiaTheme="minorEastAsia" w:hAnsi="Verdana" w:cstheme="minorBidi"/>
            <w:lang w:val="es-CO" w:eastAsia="es-CO"/>
          </w:rPr>
          <w:tab/>
        </w:r>
        <w:r w:rsidR="004E4AB7" w:rsidRPr="004439D0">
          <w:rPr>
            <w:rStyle w:val="Hipervnculo"/>
            <w:rFonts w:ascii="Verdana" w:hAnsi="Verdana"/>
          </w:rPr>
          <w:t>Riesgo Operativo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_Toc155883037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5</w:t>
        </w:r>
        <w:r w:rsidR="004E4AB7" w:rsidRPr="004439D0">
          <w:rPr>
            <w:rFonts w:ascii="Verdana" w:hAnsi="Verdana"/>
            <w:webHidden/>
          </w:rPr>
          <w:fldChar w:fldCharType="end"/>
        </w:r>
      </w:hyperlink>
    </w:p>
    <w:p w14:paraId="7173EC3F" w14:textId="2280535E" w:rsidR="004E4AB7" w:rsidRPr="004439D0" w:rsidRDefault="001A499E">
      <w:pPr>
        <w:pStyle w:val="TDC3"/>
        <w:rPr>
          <w:rFonts w:ascii="Verdana" w:eastAsiaTheme="minorEastAsia" w:hAnsi="Verdana" w:cstheme="minorBidi"/>
          <w:lang w:val="es-CO" w:eastAsia="es-CO"/>
        </w:rPr>
      </w:pPr>
      <w:hyperlink w:anchor="_Toc155883038" w:history="1">
        <w:r w:rsidR="004E4AB7" w:rsidRPr="004439D0">
          <w:rPr>
            <w:rStyle w:val="Hipervnculo"/>
            <w:rFonts w:ascii="Verdana" w:hAnsi="Verdana"/>
          </w:rPr>
          <w:t>5.2</w:t>
        </w:r>
        <w:r w:rsidR="004E4AB7" w:rsidRPr="004439D0">
          <w:rPr>
            <w:rFonts w:ascii="Verdana" w:eastAsiaTheme="minorEastAsia" w:hAnsi="Verdana" w:cstheme="minorBidi"/>
            <w:lang w:val="es-CO" w:eastAsia="es-CO"/>
          </w:rPr>
          <w:tab/>
        </w:r>
        <w:r w:rsidR="004E4AB7" w:rsidRPr="004439D0">
          <w:rPr>
            <w:rStyle w:val="Hipervnculo"/>
            <w:rFonts w:ascii="Verdana" w:hAnsi="Verdana"/>
          </w:rPr>
          <w:t>Riesgo Legal</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_Toc155883038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5</w:t>
        </w:r>
        <w:r w:rsidR="004E4AB7" w:rsidRPr="004439D0">
          <w:rPr>
            <w:rFonts w:ascii="Verdana" w:hAnsi="Verdana"/>
            <w:webHidden/>
          </w:rPr>
          <w:fldChar w:fldCharType="end"/>
        </w:r>
      </w:hyperlink>
    </w:p>
    <w:p w14:paraId="073B2E4B" w14:textId="0F26230E" w:rsidR="004E4AB7" w:rsidRPr="004439D0" w:rsidRDefault="001A499E">
      <w:pPr>
        <w:pStyle w:val="TDC3"/>
        <w:rPr>
          <w:rFonts w:ascii="Verdana" w:eastAsiaTheme="minorEastAsia" w:hAnsi="Verdana" w:cstheme="minorBidi"/>
          <w:lang w:val="es-CO" w:eastAsia="es-CO"/>
        </w:rPr>
      </w:pPr>
      <w:hyperlink w:anchor="_Toc155883039" w:history="1">
        <w:r w:rsidR="004E4AB7" w:rsidRPr="004439D0">
          <w:rPr>
            <w:rStyle w:val="Hipervnculo"/>
            <w:rFonts w:ascii="Verdana" w:hAnsi="Verdana"/>
          </w:rPr>
          <w:t>5.3</w:t>
        </w:r>
        <w:r w:rsidR="004E4AB7" w:rsidRPr="004439D0">
          <w:rPr>
            <w:rFonts w:ascii="Verdana" w:eastAsiaTheme="minorEastAsia" w:hAnsi="Verdana" w:cstheme="minorBidi"/>
            <w:lang w:val="es-CO" w:eastAsia="es-CO"/>
          </w:rPr>
          <w:tab/>
        </w:r>
        <w:r w:rsidR="004E4AB7" w:rsidRPr="004439D0">
          <w:rPr>
            <w:rStyle w:val="Hipervnculo"/>
            <w:rFonts w:ascii="Verdana" w:hAnsi="Verdana"/>
          </w:rPr>
          <w:t>Riesgo Reputacional</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_Toc155883039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5</w:t>
        </w:r>
        <w:r w:rsidR="004E4AB7" w:rsidRPr="004439D0">
          <w:rPr>
            <w:rFonts w:ascii="Verdana" w:hAnsi="Verdana"/>
            <w:webHidden/>
          </w:rPr>
          <w:fldChar w:fldCharType="end"/>
        </w:r>
      </w:hyperlink>
    </w:p>
    <w:p w14:paraId="046B9B09" w14:textId="56D81075" w:rsidR="004E4AB7" w:rsidRPr="004439D0" w:rsidRDefault="001A499E">
      <w:pPr>
        <w:pStyle w:val="TDC3"/>
        <w:rPr>
          <w:rFonts w:ascii="Verdana" w:eastAsiaTheme="minorEastAsia" w:hAnsi="Verdana" w:cstheme="minorBidi"/>
          <w:lang w:val="es-CO" w:eastAsia="es-CO"/>
        </w:rPr>
      </w:pPr>
      <w:hyperlink w:anchor="_Toc155883040" w:history="1">
        <w:r w:rsidR="004E4AB7" w:rsidRPr="004439D0">
          <w:rPr>
            <w:rStyle w:val="Hipervnculo"/>
            <w:rFonts w:ascii="Verdana" w:hAnsi="Verdana"/>
          </w:rPr>
          <w:t>5.4</w:t>
        </w:r>
        <w:r w:rsidR="004E4AB7" w:rsidRPr="004439D0">
          <w:rPr>
            <w:rFonts w:ascii="Verdana" w:eastAsiaTheme="minorEastAsia" w:hAnsi="Verdana" w:cstheme="minorBidi"/>
            <w:lang w:val="es-CO" w:eastAsia="es-CO"/>
          </w:rPr>
          <w:tab/>
        </w:r>
        <w:r w:rsidR="004E4AB7" w:rsidRPr="004439D0">
          <w:rPr>
            <w:rStyle w:val="Hipervnculo"/>
            <w:rFonts w:ascii="Verdana" w:hAnsi="Verdana"/>
          </w:rPr>
          <w:t>Definición de Factores de Riesgo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_Toc155883040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5</w:t>
        </w:r>
        <w:r w:rsidR="004E4AB7" w:rsidRPr="004439D0">
          <w:rPr>
            <w:rFonts w:ascii="Verdana" w:hAnsi="Verdana"/>
            <w:webHidden/>
          </w:rPr>
          <w:fldChar w:fldCharType="end"/>
        </w:r>
      </w:hyperlink>
    </w:p>
    <w:p w14:paraId="2F276D0E" w14:textId="66426AD7" w:rsidR="004E4AB7" w:rsidRPr="004439D0" w:rsidRDefault="001A499E">
      <w:pPr>
        <w:pStyle w:val="TDC2"/>
        <w:rPr>
          <w:rFonts w:ascii="Verdana" w:eastAsiaTheme="minorEastAsia" w:hAnsi="Verdana" w:cstheme="minorBidi"/>
          <w:bCs/>
          <w:noProof/>
          <w:lang w:val="es-CO" w:eastAsia="es-CO"/>
        </w:rPr>
      </w:pPr>
      <w:hyperlink w:anchor="_Toc155883041" w:history="1">
        <w:r w:rsidR="004E4AB7" w:rsidRPr="004439D0">
          <w:rPr>
            <w:rStyle w:val="Hipervnculo"/>
            <w:rFonts w:ascii="Verdana" w:hAnsi="Verdana" w:cs="Helvetica"/>
            <w:bCs/>
            <w:noProof/>
          </w:rPr>
          <w:t>6</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Directrices Generales del SARO</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_Toc155883041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6</w:t>
        </w:r>
        <w:r w:rsidR="004E4AB7" w:rsidRPr="004439D0">
          <w:rPr>
            <w:rFonts w:ascii="Verdana" w:hAnsi="Verdana"/>
            <w:bCs/>
            <w:noProof/>
            <w:webHidden/>
          </w:rPr>
          <w:fldChar w:fldCharType="end"/>
        </w:r>
      </w:hyperlink>
    </w:p>
    <w:p w14:paraId="168F8230" w14:textId="3008FFDC" w:rsidR="004E4AB7" w:rsidRPr="004439D0" w:rsidRDefault="001A499E">
      <w:pPr>
        <w:pStyle w:val="TDC3"/>
        <w:rPr>
          <w:rFonts w:ascii="Verdana" w:eastAsiaTheme="minorEastAsia" w:hAnsi="Verdana" w:cstheme="minorBidi"/>
          <w:lang w:val="es-CO" w:eastAsia="es-CO"/>
        </w:rPr>
      </w:pPr>
      <w:hyperlink w:anchor="_Toc155883042" w:history="1">
        <w:r w:rsidR="004E4AB7" w:rsidRPr="004439D0">
          <w:rPr>
            <w:rStyle w:val="Hipervnculo"/>
            <w:rFonts w:ascii="Verdana" w:hAnsi="Verdana"/>
          </w:rPr>
          <w:t>6.1</w:t>
        </w:r>
        <w:r w:rsidR="004E4AB7" w:rsidRPr="004439D0">
          <w:rPr>
            <w:rFonts w:ascii="Verdana" w:eastAsiaTheme="minorEastAsia" w:hAnsi="Verdana" w:cstheme="minorBidi"/>
            <w:lang w:val="es-CO" w:eastAsia="es-CO"/>
          </w:rPr>
          <w:tab/>
        </w:r>
        <w:r w:rsidR="004E4AB7" w:rsidRPr="004439D0">
          <w:rPr>
            <w:rStyle w:val="Hipervnculo"/>
            <w:rFonts w:ascii="Verdana" w:hAnsi="Verdana"/>
          </w:rPr>
          <w:t>Responsabilidades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_Toc155883042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6</w:t>
        </w:r>
        <w:r w:rsidR="004E4AB7" w:rsidRPr="004439D0">
          <w:rPr>
            <w:rFonts w:ascii="Verdana" w:hAnsi="Verdana"/>
            <w:webHidden/>
          </w:rPr>
          <w:fldChar w:fldCharType="end"/>
        </w:r>
      </w:hyperlink>
    </w:p>
    <w:p w14:paraId="1A822596" w14:textId="26FB1E23" w:rsidR="004E4AB7" w:rsidRPr="004439D0" w:rsidRDefault="001A499E">
      <w:pPr>
        <w:pStyle w:val="TDC3"/>
        <w:rPr>
          <w:rFonts w:ascii="Verdana" w:eastAsiaTheme="minorEastAsia" w:hAnsi="Verdana" w:cstheme="minorBidi"/>
          <w:lang w:val="es-CO" w:eastAsia="es-CO"/>
        </w:rPr>
      </w:pPr>
      <w:hyperlink w:anchor="_Toc155883043" w:history="1">
        <w:r w:rsidR="004E4AB7" w:rsidRPr="004439D0">
          <w:rPr>
            <w:rStyle w:val="Hipervnculo"/>
            <w:rFonts w:ascii="Verdana" w:hAnsi="Verdana"/>
          </w:rPr>
          <w:t>6.2</w:t>
        </w:r>
        <w:r w:rsidR="004E4AB7" w:rsidRPr="004439D0">
          <w:rPr>
            <w:rFonts w:ascii="Verdana" w:eastAsiaTheme="minorEastAsia" w:hAnsi="Verdana" w:cstheme="minorBidi"/>
            <w:lang w:val="es-CO" w:eastAsia="es-CO"/>
          </w:rPr>
          <w:tab/>
        </w:r>
        <w:r w:rsidR="004E4AB7" w:rsidRPr="004439D0">
          <w:rPr>
            <w:rStyle w:val="Hipervnculo"/>
            <w:rFonts w:ascii="Verdana" w:hAnsi="Verdana"/>
          </w:rPr>
          <w:t>Reunión Técnica de Administración de Riesgos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_Toc155883043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8</w:t>
        </w:r>
        <w:r w:rsidR="004E4AB7" w:rsidRPr="004439D0">
          <w:rPr>
            <w:rFonts w:ascii="Verdana" w:hAnsi="Verdana"/>
            <w:webHidden/>
          </w:rPr>
          <w:fldChar w:fldCharType="end"/>
        </w:r>
      </w:hyperlink>
    </w:p>
    <w:p w14:paraId="0DE89D2C" w14:textId="4281DD9C" w:rsidR="004E4AB7" w:rsidRPr="004439D0" w:rsidRDefault="001A499E">
      <w:pPr>
        <w:pStyle w:val="TDC2"/>
        <w:rPr>
          <w:rFonts w:ascii="Verdana" w:eastAsiaTheme="minorEastAsia" w:hAnsi="Verdana" w:cstheme="minorBidi"/>
          <w:bCs/>
          <w:noProof/>
          <w:lang w:val="es-CO" w:eastAsia="es-CO"/>
        </w:rPr>
      </w:pPr>
      <w:hyperlink w:anchor="_Toc155883044" w:history="1">
        <w:r w:rsidR="004E4AB7" w:rsidRPr="004439D0">
          <w:rPr>
            <w:rStyle w:val="Hipervnculo"/>
            <w:rFonts w:ascii="Verdana" w:hAnsi="Verdana" w:cs="Helvetica"/>
            <w:bCs/>
            <w:noProof/>
          </w:rPr>
          <w:t>7.</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Políticas de Administración de Riesgo Operativo</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_Toc155883044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10</w:t>
        </w:r>
        <w:r w:rsidR="004E4AB7" w:rsidRPr="004439D0">
          <w:rPr>
            <w:rFonts w:ascii="Verdana" w:hAnsi="Verdana"/>
            <w:bCs/>
            <w:noProof/>
            <w:webHidden/>
          </w:rPr>
          <w:fldChar w:fldCharType="end"/>
        </w:r>
      </w:hyperlink>
    </w:p>
    <w:p w14:paraId="2FE264DF" w14:textId="7DFC967D" w:rsidR="004E4AB7" w:rsidRPr="004439D0" w:rsidRDefault="001A499E">
      <w:pPr>
        <w:pStyle w:val="TDC3"/>
        <w:rPr>
          <w:rFonts w:ascii="Verdana" w:eastAsiaTheme="minorEastAsia" w:hAnsi="Verdana" w:cstheme="minorBidi"/>
          <w:lang w:val="es-CO" w:eastAsia="es-CO"/>
        </w:rPr>
      </w:pPr>
      <w:hyperlink w:anchor="_Toc155883045" w:history="1">
        <w:r w:rsidR="004E4AB7" w:rsidRPr="004439D0">
          <w:rPr>
            <w:rStyle w:val="Hipervnculo"/>
            <w:rFonts w:ascii="Verdana" w:hAnsi="Verdana"/>
          </w:rPr>
          <w:t>7.1</w:t>
        </w:r>
        <w:r w:rsidR="004E4AB7" w:rsidRPr="004439D0">
          <w:rPr>
            <w:rFonts w:ascii="Verdana" w:eastAsiaTheme="minorEastAsia" w:hAnsi="Verdana" w:cstheme="minorBidi"/>
            <w:lang w:val="es-CO" w:eastAsia="es-CO"/>
          </w:rPr>
          <w:tab/>
        </w:r>
        <w:r w:rsidR="004E4AB7" w:rsidRPr="004439D0">
          <w:rPr>
            <w:rStyle w:val="Hipervnculo"/>
            <w:rFonts w:ascii="Verdana" w:hAnsi="Verdana"/>
          </w:rPr>
          <w:t>Perfil de Riesgo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_Toc155883045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11</w:t>
        </w:r>
        <w:r w:rsidR="004E4AB7" w:rsidRPr="004439D0">
          <w:rPr>
            <w:rFonts w:ascii="Verdana" w:hAnsi="Verdana"/>
            <w:webHidden/>
          </w:rPr>
          <w:fldChar w:fldCharType="end"/>
        </w:r>
      </w:hyperlink>
    </w:p>
    <w:p w14:paraId="1B448838" w14:textId="7D1561F5" w:rsidR="004E4AB7" w:rsidRPr="004439D0" w:rsidRDefault="001A499E">
      <w:pPr>
        <w:pStyle w:val="TDC3"/>
        <w:rPr>
          <w:rFonts w:ascii="Verdana" w:eastAsiaTheme="minorEastAsia" w:hAnsi="Verdana" w:cstheme="minorBidi"/>
          <w:lang w:val="es-CO" w:eastAsia="es-CO"/>
        </w:rPr>
      </w:pPr>
      <w:hyperlink w:anchor="_Toc155883046" w:history="1">
        <w:r w:rsidR="004E4AB7" w:rsidRPr="004439D0">
          <w:rPr>
            <w:rStyle w:val="Hipervnculo"/>
            <w:rFonts w:ascii="Verdana" w:hAnsi="Verdana"/>
          </w:rPr>
          <w:t>7.2</w:t>
        </w:r>
        <w:r w:rsidR="004E4AB7" w:rsidRPr="004439D0">
          <w:rPr>
            <w:rFonts w:ascii="Verdana" w:eastAsiaTheme="minorEastAsia" w:hAnsi="Verdana" w:cstheme="minorBidi"/>
            <w:lang w:val="es-CO" w:eastAsia="es-CO"/>
          </w:rPr>
          <w:tab/>
        </w:r>
        <w:r w:rsidR="004E4AB7" w:rsidRPr="004439D0">
          <w:rPr>
            <w:rStyle w:val="Hipervnculo"/>
            <w:rFonts w:ascii="Verdana" w:hAnsi="Verdana"/>
          </w:rPr>
          <w:t>Estructura Organizacional del SARO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_Toc155883046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11</w:t>
        </w:r>
        <w:r w:rsidR="004E4AB7" w:rsidRPr="004439D0">
          <w:rPr>
            <w:rFonts w:ascii="Verdana" w:hAnsi="Verdana"/>
            <w:webHidden/>
          </w:rPr>
          <w:fldChar w:fldCharType="end"/>
        </w:r>
      </w:hyperlink>
    </w:p>
    <w:p w14:paraId="2F2A9194" w14:textId="2E9C7877" w:rsidR="004E4AB7" w:rsidRPr="004439D0" w:rsidRDefault="001A499E">
      <w:pPr>
        <w:pStyle w:val="TDC3"/>
        <w:rPr>
          <w:rFonts w:ascii="Verdana" w:eastAsiaTheme="minorEastAsia" w:hAnsi="Verdana" w:cstheme="minorBidi"/>
          <w:lang w:val="es-CO" w:eastAsia="es-CO"/>
        </w:rPr>
      </w:pPr>
      <w:hyperlink w:anchor="_Toc155883047" w:history="1">
        <w:r w:rsidR="004E4AB7" w:rsidRPr="004439D0">
          <w:rPr>
            <w:rStyle w:val="Hipervnculo"/>
            <w:rFonts w:ascii="Verdana" w:hAnsi="Verdana"/>
          </w:rPr>
          <w:t>7.3</w:t>
        </w:r>
        <w:r w:rsidR="004E4AB7" w:rsidRPr="004439D0">
          <w:rPr>
            <w:rFonts w:ascii="Verdana" w:eastAsiaTheme="minorEastAsia" w:hAnsi="Verdana" w:cstheme="minorBidi"/>
            <w:lang w:val="es-CO" w:eastAsia="es-CO"/>
          </w:rPr>
          <w:tab/>
        </w:r>
        <w:r w:rsidR="004E4AB7" w:rsidRPr="004439D0">
          <w:rPr>
            <w:rStyle w:val="Hipervnculo"/>
            <w:rFonts w:ascii="Verdana" w:hAnsi="Verdana"/>
          </w:rPr>
          <w:t>Política de Acceso y Administración de Usuarios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_Toc155883047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13</w:t>
        </w:r>
        <w:r w:rsidR="004E4AB7" w:rsidRPr="004439D0">
          <w:rPr>
            <w:rFonts w:ascii="Verdana" w:hAnsi="Verdana"/>
            <w:webHidden/>
          </w:rPr>
          <w:fldChar w:fldCharType="end"/>
        </w:r>
      </w:hyperlink>
    </w:p>
    <w:p w14:paraId="0F1FAE50" w14:textId="772B3B69" w:rsidR="004E4AB7" w:rsidRPr="004439D0" w:rsidRDefault="001A499E">
      <w:pPr>
        <w:pStyle w:val="TDC3"/>
        <w:rPr>
          <w:rFonts w:ascii="Verdana" w:eastAsiaTheme="minorEastAsia" w:hAnsi="Verdana" w:cstheme="minorBidi"/>
          <w:lang w:val="es-CO" w:eastAsia="es-CO"/>
        </w:rPr>
      </w:pPr>
      <w:hyperlink w:anchor="_Toc155883048" w:history="1">
        <w:r w:rsidR="004E4AB7" w:rsidRPr="004439D0">
          <w:rPr>
            <w:rStyle w:val="Hipervnculo"/>
            <w:rFonts w:ascii="Verdana" w:hAnsi="Verdana"/>
          </w:rPr>
          <w:t>7.4</w:t>
        </w:r>
        <w:r w:rsidR="004E4AB7" w:rsidRPr="004439D0">
          <w:rPr>
            <w:rFonts w:ascii="Verdana" w:eastAsiaTheme="minorEastAsia" w:hAnsi="Verdana" w:cstheme="minorBidi"/>
            <w:lang w:val="es-CO" w:eastAsia="es-CO"/>
          </w:rPr>
          <w:tab/>
        </w:r>
        <w:r w:rsidR="004E4AB7" w:rsidRPr="004439D0">
          <w:rPr>
            <w:rStyle w:val="Hipervnculo"/>
            <w:rFonts w:ascii="Verdana" w:hAnsi="Verdana"/>
          </w:rPr>
          <w:t>Política de Seguridad de la Información</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_Toc155883048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16</w:t>
        </w:r>
        <w:r w:rsidR="004E4AB7" w:rsidRPr="004439D0">
          <w:rPr>
            <w:rFonts w:ascii="Verdana" w:hAnsi="Verdana"/>
            <w:webHidden/>
          </w:rPr>
          <w:fldChar w:fldCharType="end"/>
        </w:r>
      </w:hyperlink>
    </w:p>
    <w:p w14:paraId="4D6EFAD8" w14:textId="0F64E134" w:rsidR="004E4AB7" w:rsidRPr="004439D0" w:rsidRDefault="001A499E">
      <w:pPr>
        <w:pStyle w:val="TDC3"/>
        <w:rPr>
          <w:rFonts w:ascii="Verdana" w:eastAsiaTheme="minorEastAsia" w:hAnsi="Verdana" w:cstheme="minorBidi"/>
          <w:lang w:val="es-CO" w:eastAsia="es-CO"/>
        </w:rPr>
      </w:pPr>
      <w:hyperlink w:anchor="_Toc155883049" w:history="1">
        <w:r w:rsidR="004E4AB7" w:rsidRPr="004439D0">
          <w:rPr>
            <w:rStyle w:val="Hipervnculo"/>
            <w:rFonts w:ascii="Verdana" w:hAnsi="Verdana"/>
          </w:rPr>
          <w:t>7.5</w:t>
        </w:r>
        <w:r w:rsidR="004E4AB7" w:rsidRPr="004439D0">
          <w:rPr>
            <w:rFonts w:ascii="Verdana" w:eastAsiaTheme="minorEastAsia" w:hAnsi="Verdana" w:cstheme="minorBidi"/>
            <w:lang w:val="es-CO" w:eastAsia="es-CO"/>
          </w:rPr>
          <w:tab/>
        </w:r>
        <w:r w:rsidR="004E4AB7" w:rsidRPr="004439D0">
          <w:rPr>
            <w:rStyle w:val="Hipervnculo"/>
            <w:rFonts w:ascii="Verdana" w:hAnsi="Verdana"/>
          </w:rPr>
          <w:t>Política de Prevención de Fraude y Corrupción</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_Toc155883049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19</w:t>
        </w:r>
        <w:r w:rsidR="004E4AB7" w:rsidRPr="004439D0">
          <w:rPr>
            <w:rFonts w:ascii="Verdana" w:hAnsi="Verdana"/>
            <w:webHidden/>
          </w:rPr>
          <w:fldChar w:fldCharType="end"/>
        </w:r>
      </w:hyperlink>
    </w:p>
    <w:p w14:paraId="359A0AC2" w14:textId="64C0FD66" w:rsidR="004E4AB7" w:rsidRPr="004439D0" w:rsidRDefault="001A499E">
      <w:pPr>
        <w:pStyle w:val="TDC3"/>
        <w:rPr>
          <w:rFonts w:ascii="Verdana" w:eastAsiaTheme="minorEastAsia" w:hAnsi="Verdana" w:cstheme="minorBidi"/>
          <w:lang w:val="es-CO" w:eastAsia="es-CO"/>
        </w:rPr>
      </w:pPr>
      <w:hyperlink w:anchor="_Toc155883050" w:history="1">
        <w:r w:rsidR="004E4AB7" w:rsidRPr="004439D0">
          <w:rPr>
            <w:rStyle w:val="Hipervnculo"/>
            <w:rFonts w:ascii="Verdana" w:hAnsi="Verdana"/>
          </w:rPr>
          <w:t>7.6</w:t>
        </w:r>
        <w:r w:rsidR="004E4AB7" w:rsidRPr="004439D0">
          <w:rPr>
            <w:rFonts w:ascii="Verdana" w:eastAsiaTheme="minorEastAsia" w:hAnsi="Verdana" w:cstheme="minorBidi"/>
            <w:lang w:val="es-CO" w:eastAsia="es-CO"/>
          </w:rPr>
          <w:tab/>
        </w:r>
        <w:r w:rsidR="004E4AB7" w:rsidRPr="004439D0">
          <w:rPr>
            <w:rStyle w:val="Hipervnculo"/>
            <w:rFonts w:ascii="Verdana" w:hAnsi="Verdana"/>
          </w:rPr>
          <w:t>Principios de Gestión del Riesgo Operativo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_Toc155883050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19</w:t>
        </w:r>
        <w:r w:rsidR="004E4AB7" w:rsidRPr="004439D0">
          <w:rPr>
            <w:rFonts w:ascii="Verdana" w:hAnsi="Verdana"/>
            <w:webHidden/>
          </w:rPr>
          <w:fldChar w:fldCharType="end"/>
        </w:r>
      </w:hyperlink>
    </w:p>
    <w:p w14:paraId="719B8998" w14:textId="75455581" w:rsidR="004E4AB7" w:rsidRPr="004439D0" w:rsidRDefault="001A499E">
      <w:pPr>
        <w:pStyle w:val="TDC3"/>
        <w:rPr>
          <w:rFonts w:ascii="Verdana" w:eastAsiaTheme="minorEastAsia" w:hAnsi="Verdana" w:cstheme="minorBidi"/>
          <w:lang w:val="es-CO" w:eastAsia="es-CO"/>
        </w:rPr>
      </w:pPr>
      <w:hyperlink w:anchor="_Toc155883051" w:history="1">
        <w:r w:rsidR="004E4AB7" w:rsidRPr="004439D0">
          <w:rPr>
            <w:rStyle w:val="Hipervnculo"/>
            <w:rFonts w:ascii="Verdana" w:hAnsi="Verdana"/>
          </w:rPr>
          <w:t>7.7</w:t>
        </w:r>
        <w:r w:rsidR="004E4AB7" w:rsidRPr="004439D0">
          <w:rPr>
            <w:rFonts w:ascii="Verdana" w:eastAsiaTheme="minorEastAsia" w:hAnsi="Verdana" w:cstheme="minorBidi"/>
            <w:lang w:val="es-CO" w:eastAsia="es-CO"/>
          </w:rPr>
          <w:tab/>
        </w:r>
        <w:r w:rsidR="004E4AB7" w:rsidRPr="004439D0">
          <w:rPr>
            <w:rStyle w:val="Hipervnculo"/>
            <w:rFonts w:ascii="Verdana" w:hAnsi="Verdana"/>
          </w:rPr>
          <w:t>Procedimiento de Gestión de Riesgo Operativo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_Toc155883051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19</w:t>
        </w:r>
        <w:r w:rsidR="004E4AB7" w:rsidRPr="004439D0">
          <w:rPr>
            <w:rFonts w:ascii="Verdana" w:hAnsi="Verdana"/>
            <w:webHidden/>
          </w:rPr>
          <w:fldChar w:fldCharType="end"/>
        </w:r>
      </w:hyperlink>
    </w:p>
    <w:p w14:paraId="76FA733E" w14:textId="475755B4" w:rsidR="004E4AB7" w:rsidRPr="004439D0" w:rsidRDefault="001A499E">
      <w:pPr>
        <w:pStyle w:val="TDC2"/>
        <w:rPr>
          <w:rFonts w:ascii="Verdana" w:eastAsiaTheme="minorEastAsia" w:hAnsi="Verdana" w:cstheme="minorBidi"/>
          <w:bCs/>
          <w:noProof/>
          <w:lang w:val="es-CO" w:eastAsia="es-CO"/>
        </w:rPr>
      </w:pPr>
      <w:hyperlink w:anchor="_Toc155883052" w:history="1">
        <w:r w:rsidR="004E4AB7" w:rsidRPr="004439D0">
          <w:rPr>
            <w:rStyle w:val="Hipervnculo"/>
            <w:rFonts w:ascii="Verdana" w:hAnsi="Verdana" w:cs="Helvetica"/>
            <w:bCs/>
            <w:noProof/>
          </w:rPr>
          <w:t>8</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Metodologías para la Administración de Riesgo Operativo</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_Toc155883052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21</w:t>
        </w:r>
        <w:r w:rsidR="004E4AB7" w:rsidRPr="004439D0">
          <w:rPr>
            <w:rFonts w:ascii="Verdana" w:hAnsi="Verdana"/>
            <w:bCs/>
            <w:noProof/>
            <w:webHidden/>
          </w:rPr>
          <w:fldChar w:fldCharType="end"/>
        </w:r>
      </w:hyperlink>
    </w:p>
    <w:p w14:paraId="01240870" w14:textId="3336403A" w:rsidR="004E4AB7" w:rsidRPr="004439D0" w:rsidRDefault="001A499E">
      <w:pPr>
        <w:pStyle w:val="TDC3"/>
        <w:rPr>
          <w:rFonts w:ascii="Verdana" w:eastAsiaTheme="minorEastAsia" w:hAnsi="Verdana" w:cstheme="minorBidi"/>
          <w:lang w:val="es-CO" w:eastAsia="es-CO"/>
        </w:rPr>
      </w:pPr>
      <w:hyperlink w:anchor="_Toc155883053" w:history="1">
        <w:r w:rsidR="004E4AB7" w:rsidRPr="004439D0">
          <w:rPr>
            <w:rStyle w:val="Hipervnculo"/>
            <w:rFonts w:ascii="Verdana" w:hAnsi="Verdana"/>
          </w:rPr>
          <w:t>8.1</w:t>
        </w:r>
        <w:r w:rsidR="004E4AB7" w:rsidRPr="004439D0">
          <w:rPr>
            <w:rFonts w:ascii="Verdana" w:eastAsiaTheme="minorEastAsia" w:hAnsi="Verdana" w:cstheme="minorBidi"/>
            <w:lang w:val="es-CO" w:eastAsia="es-CO"/>
          </w:rPr>
          <w:tab/>
        </w:r>
        <w:r w:rsidR="004E4AB7" w:rsidRPr="004439D0">
          <w:rPr>
            <w:rStyle w:val="Hipervnculo"/>
            <w:rFonts w:ascii="Verdana" w:hAnsi="Verdana"/>
          </w:rPr>
          <w:t>Procedimiento para la Identificación de Riesgos Operativos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_Toc155883053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22</w:t>
        </w:r>
        <w:r w:rsidR="004E4AB7" w:rsidRPr="004439D0">
          <w:rPr>
            <w:rFonts w:ascii="Verdana" w:hAnsi="Verdana"/>
            <w:webHidden/>
          </w:rPr>
          <w:fldChar w:fldCharType="end"/>
        </w:r>
      </w:hyperlink>
    </w:p>
    <w:p w14:paraId="5E646E5A" w14:textId="7CF809C3" w:rsidR="004E4AB7" w:rsidRPr="004439D0" w:rsidRDefault="001A499E">
      <w:pPr>
        <w:pStyle w:val="TDC3"/>
        <w:rPr>
          <w:rFonts w:ascii="Verdana" w:eastAsiaTheme="minorEastAsia" w:hAnsi="Verdana" w:cstheme="minorBidi"/>
          <w:lang w:val="es-CO" w:eastAsia="es-CO"/>
        </w:rPr>
      </w:pPr>
      <w:hyperlink w:anchor="_Toc155883054" w:history="1">
        <w:r w:rsidR="004E4AB7" w:rsidRPr="004439D0">
          <w:rPr>
            <w:rStyle w:val="Hipervnculo"/>
            <w:rFonts w:ascii="Verdana" w:hAnsi="Verdana"/>
          </w:rPr>
          <w:t>8.2</w:t>
        </w:r>
        <w:r w:rsidR="004E4AB7" w:rsidRPr="004439D0">
          <w:rPr>
            <w:rFonts w:ascii="Verdana" w:eastAsiaTheme="minorEastAsia" w:hAnsi="Verdana" w:cstheme="minorBidi"/>
            <w:lang w:val="es-CO" w:eastAsia="es-CO"/>
          </w:rPr>
          <w:tab/>
        </w:r>
        <w:r w:rsidR="004E4AB7" w:rsidRPr="004439D0">
          <w:rPr>
            <w:rStyle w:val="Hipervnculo"/>
            <w:rFonts w:ascii="Verdana" w:hAnsi="Verdana"/>
          </w:rPr>
          <w:t>Medición de los riesgos operativos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_Toc155883054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24</w:t>
        </w:r>
        <w:r w:rsidR="004E4AB7" w:rsidRPr="004439D0">
          <w:rPr>
            <w:rFonts w:ascii="Verdana" w:hAnsi="Verdana"/>
            <w:webHidden/>
          </w:rPr>
          <w:fldChar w:fldCharType="end"/>
        </w:r>
      </w:hyperlink>
    </w:p>
    <w:p w14:paraId="4DEA5F58" w14:textId="1EB351AA" w:rsidR="004E4AB7" w:rsidRPr="004439D0" w:rsidRDefault="001A499E">
      <w:pPr>
        <w:pStyle w:val="TDC2"/>
        <w:rPr>
          <w:rFonts w:ascii="Verdana" w:eastAsiaTheme="minorEastAsia" w:hAnsi="Verdana" w:cstheme="minorBidi"/>
          <w:bCs/>
          <w:noProof/>
          <w:lang w:val="es-CO" w:eastAsia="es-CO"/>
        </w:rPr>
      </w:pPr>
      <w:hyperlink w:anchor="_Toc155883055" w:history="1">
        <w:r w:rsidR="004E4AB7" w:rsidRPr="004439D0">
          <w:rPr>
            <w:rStyle w:val="Hipervnculo"/>
            <w:rFonts w:ascii="Verdana" w:hAnsi="Verdana" w:cs="Helvetica"/>
            <w:bCs/>
            <w:noProof/>
          </w:rPr>
          <w:t>9</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Autoevaluación de Riesgos y Controles Operativos</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_Toc155883055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28</w:t>
        </w:r>
        <w:r w:rsidR="004E4AB7" w:rsidRPr="004439D0">
          <w:rPr>
            <w:rFonts w:ascii="Verdana" w:hAnsi="Verdana"/>
            <w:bCs/>
            <w:noProof/>
            <w:webHidden/>
          </w:rPr>
          <w:fldChar w:fldCharType="end"/>
        </w:r>
      </w:hyperlink>
    </w:p>
    <w:p w14:paraId="33588072" w14:textId="576952F3" w:rsidR="004E4AB7" w:rsidRPr="004439D0" w:rsidRDefault="001A499E">
      <w:pPr>
        <w:pStyle w:val="TDC2"/>
        <w:rPr>
          <w:rFonts w:ascii="Verdana" w:eastAsiaTheme="minorEastAsia" w:hAnsi="Verdana" w:cstheme="minorBidi"/>
          <w:bCs/>
          <w:noProof/>
          <w:lang w:val="es-CO" w:eastAsia="es-CO"/>
        </w:rPr>
      </w:pPr>
      <w:hyperlink w:anchor="_Toc155883056" w:history="1">
        <w:r w:rsidR="004E4AB7" w:rsidRPr="004439D0">
          <w:rPr>
            <w:rStyle w:val="Hipervnculo"/>
            <w:rFonts w:ascii="Verdana" w:hAnsi="Verdana" w:cs="Helvetica"/>
            <w:bCs/>
            <w:noProof/>
          </w:rPr>
          <w:t>10</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Monitoreo de los Riesgos</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_Toc155883056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28</w:t>
        </w:r>
        <w:r w:rsidR="004E4AB7" w:rsidRPr="004439D0">
          <w:rPr>
            <w:rFonts w:ascii="Verdana" w:hAnsi="Verdana"/>
            <w:bCs/>
            <w:noProof/>
            <w:webHidden/>
          </w:rPr>
          <w:fldChar w:fldCharType="end"/>
        </w:r>
      </w:hyperlink>
    </w:p>
    <w:p w14:paraId="65446835" w14:textId="444CCEB7" w:rsidR="004E4AB7" w:rsidRPr="004439D0" w:rsidRDefault="001A499E">
      <w:pPr>
        <w:pStyle w:val="TDC3"/>
        <w:rPr>
          <w:rFonts w:ascii="Verdana" w:eastAsiaTheme="minorEastAsia" w:hAnsi="Verdana" w:cstheme="minorBidi"/>
          <w:lang w:val="es-CO" w:eastAsia="es-CO"/>
        </w:rPr>
      </w:pPr>
      <w:hyperlink w:anchor="_Toc155883057" w:history="1">
        <w:r w:rsidR="004E4AB7" w:rsidRPr="004439D0">
          <w:rPr>
            <w:rStyle w:val="Hipervnculo"/>
            <w:rFonts w:ascii="Verdana" w:hAnsi="Verdana"/>
          </w:rPr>
          <w:t>10.1</w:t>
        </w:r>
        <w:r w:rsidR="004E4AB7" w:rsidRPr="004439D0">
          <w:rPr>
            <w:rFonts w:ascii="Verdana" w:eastAsiaTheme="minorEastAsia" w:hAnsi="Verdana" w:cstheme="minorBidi"/>
            <w:lang w:val="es-CO" w:eastAsia="es-CO"/>
          </w:rPr>
          <w:tab/>
        </w:r>
        <w:r w:rsidR="004E4AB7" w:rsidRPr="004439D0">
          <w:rPr>
            <w:rStyle w:val="Hipervnculo"/>
            <w:rFonts w:ascii="Verdana" w:hAnsi="Verdana"/>
          </w:rPr>
          <w:t>Registro de Eventos de Riesgo Operativo</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_Toc155883057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28</w:t>
        </w:r>
        <w:r w:rsidR="004E4AB7" w:rsidRPr="004439D0">
          <w:rPr>
            <w:rFonts w:ascii="Verdana" w:hAnsi="Verdana"/>
            <w:webHidden/>
          </w:rPr>
          <w:fldChar w:fldCharType="end"/>
        </w:r>
      </w:hyperlink>
    </w:p>
    <w:p w14:paraId="0C5EAE72" w14:textId="4D85D1D6" w:rsidR="004E4AB7" w:rsidRPr="004439D0" w:rsidRDefault="001A499E">
      <w:pPr>
        <w:pStyle w:val="TDC3"/>
        <w:rPr>
          <w:rFonts w:ascii="Verdana" w:eastAsiaTheme="minorEastAsia" w:hAnsi="Verdana" w:cstheme="minorBidi"/>
          <w:lang w:val="es-CO" w:eastAsia="es-CO"/>
        </w:rPr>
      </w:pPr>
      <w:hyperlink w:anchor="_Toc155883058" w:history="1">
        <w:r w:rsidR="004E4AB7" w:rsidRPr="004439D0">
          <w:rPr>
            <w:rStyle w:val="Hipervnculo"/>
            <w:rFonts w:ascii="Verdana" w:hAnsi="Verdana"/>
          </w:rPr>
          <w:t>10.2</w:t>
        </w:r>
        <w:r w:rsidR="004E4AB7" w:rsidRPr="004439D0">
          <w:rPr>
            <w:rFonts w:ascii="Verdana" w:eastAsiaTheme="minorEastAsia" w:hAnsi="Verdana" w:cstheme="minorBidi"/>
            <w:lang w:val="es-CO" w:eastAsia="es-CO"/>
          </w:rPr>
          <w:tab/>
        </w:r>
        <w:r w:rsidR="004E4AB7" w:rsidRPr="004439D0">
          <w:rPr>
            <w:rStyle w:val="Hipervnculo"/>
            <w:rFonts w:ascii="Verdana" w:hAnsi="Verdana"/>
          </w:rPr>
          <w:t>Inventario de Controles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_Toc155883058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29</w:t>
        </w:r>
        <w:r w:rsidR="004E4AB7" w:rsidRPr="004439D0">
          <w:rPr>
            <w:rFonts w:ascii="Verdana" w:hAnsi="Verdana"/>
            <w:webHidden/>
          </w:rPr>
          <w:fldChar w:fldCharType="end"/>
        </w:r>
      </w:hyperlink>
    </w:p>
    <w:p w14:paraId="27570230" w14:textId="50AEA667" w:rsidR="004E4AB7" w:rsidRPr="004439D0" w:rsidRDefault="001A499E">
      <w:pPr>
        <w:pStyle w:val="TDC3"/>
        <w:rPr>
          <w:rFonts w:ascii="Verdana" w:eastAsiaTheme="minorEastAsia" w:hAnsi="Verdana" w:cstheme="minorBidi"/>
          <w:lang w:val="es-CO" w:eastAsia="es-CO"/>
        </w:rPr>
      </w:pPr>
      <w:hyperlink w:anchor="_Toc155883059" w:history="1">
        <w:r w:rsidR="004E4AB7" w:rsidRPr="004439D0">
          <w:rPr>
            <w:rStyle w:val="Hipervnculo"/>
            <w:rFonts w:ascii="Verdana" w:hAnsi="Verdana"/>
          </w:rPr>
          <w:t>10.3</w:t>
        </w:r>
        <w:r w:rsidR="004E4AB7" w:rsidRPr="004439D0">
          <w:rPr>
            <w:rFonts w:ascii="Verdana" w:eastAsiaTheme="minorEastAsia" w:hAnsi="Verdana" w:cstheme="minorBidi"/>
            <w:lang w:val="es-CO" w:eastAsia="es-CO"/>
          </w:rPr>
          <w:tab/>
        </w:r>
        <w:r w:rsidR="004E4AB7" w:rsidRPr="004439D0">
          <w:rPr>
            <w:rStyle w:val="Hipervnculo"/>
            <w:rFonts w:ascii="Verdana" w:hAnsi="Verdana"/>
          </w:rPr>
          <w:t>Evaluación de Controles</w:t>
        </w:r>
        <w:r w:rsidR="004E4AB7" w:rsidRPr="004439D0">
          <w:rPr>
            <w:rFonts w:ascii="Verdana" w:hAnsi="Verdana"/>
            <w:webHidden/>
          </w:rPr>
          <w:tab/>
        </w:r>
        <w:r w:rsidR="004E4AB7" w:rsidRPr="004439D0">
          <w:rPr>
            <w:rFonts w:ascii="Verdana" w:hAnsi="Verdana"/>
            <w:webHidden/>
          </w:rPr>
          <w:fldChar w:fldCharType="begin"/>
        </w:r>
        <w:r w:rsidR="004E4AB7" w:rsidRPr="004439D0">
          <w:rPr>
            <w:rFonts w:ascii="Verdana" w:hAnsi="Verdana"/>
            <w:webHidden/>
          </w:rPr>
          <w:instrText xml:space="preserve"> PAGEREF _Toc155883059 \h </w:instrText>
        </w:r>
        <w:r w:rsidR="004E4AB7" w:rsidRPr="004439D0">
          <w:rPr>
            <w:rFonts w:ascii="Verdana" w:hAnsi="Verdana"/>
            <w:webHidden/>
          </w:rPr>
        </w:r>
        <w:r w:rsidR="004E4AB7" w:rsidRPr="004439D0">
          <w:rPr>
            <w:rFonts w:ascii="Verdana" w:hAnsi="Verdana"/>
            <w:webHidden/>
          </w:rPr>
          <w:fldChar w:fldCharType="separate"/>
        </w:r>
        <w:r w:rsidR="004E4AB7" w:rsidRPr="004439D0">
          <w:rPr>
            <w:rFonts w:ascii="Verdana" w:hAnsi="Verdana"/>
            <w:webHidden/>
          </w:rPr>
          <w:t>29</w:t>
        </w:r>
        <w:r w:rsidR="004E4AB7" w:rsidRPr="004439D0">
          <w:rPr>
            <w:rFonts w:ascii="Verdana" w:hAnsi="Verdana"/>
            <w:webHidden/>
          </w:rPr>
          <w:fldChar w:fldCharType="end"/>
        </w:r>
      </w:hyperlink>
    </w:p>
    <w:p w14:paraId="4FFBBCCF" w14:textId="46FB8AEE" w:rsidR="004E4AB7" w:rsidRPr="004439D0" w:rsidRDefault="001A499E">
      <w:pPr>
        <w:pStyle w:val="TDC2"/>
        <w:rPr>
          <w:rFonts w:ascii="Verdana" w:eastAsiaTheme="minorEastAsia" w:hAnsi="Verdana" w:cstheme="minorBidi"/>
          <w:bCs/>
          <w:noProof/>
          <w:lang w:val="es-CO" w:eastAsia="es-CO"/>
        </w:rPr>
      </w:pPr>
      <w:hyperlink w:anchor="_Toc155883060" w:history="1">
        <w:r w:rsidR="004E4AB7" w:rsidRPr="004439D0">
          <w:rPr>
            <w:rStyle w:val="Hipervnculo"/>
            <w:rFonts w:ascii="Verdana" w:hAnsi="Verdana" w:cs="Helvetica"/>
            <w:bCs/>
            <w:noProof/>
          </w:rPr>
          <w:t>11</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Indicadores Claves de Gestión</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_Toc155883060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30</w:t>
        </w:r>
        <w:r w:rsidR="004E4AB7" w:rsidRPr="004439D0">
          <w:rPr>
            <w:rFonts w:ascii="Verdana" w:hAnsi="Verdana"/>
            <w:bCs/>
            <w:noProof/>
            <w:webHidden/>
          </w:rPr>
          <w:fldChar w:fldCharType="end"/>
        </w:r>
      </w:hyperlink>
    </w:p>
    <w:p w14:paraId="07873515" w14:textId="71C12F36" w:rsidR="004E4AB7" w:rsidRPr="004439D0" w:rsidRDefault="001A499E">
      <w:pPr>
        <w:pStyle w:val="TDC2"/>
        <w:rPr>
          <w:rFonts w:ascii="Verdana" w:eastAsiaTheme="minorEastAsia" w:hAnsi="Verdana" w:cstheme="minorBidi"/>
          <w:bCs/>
          <w:noProof/>
          <w:lang w:val="es-CO" w:eastAsia="es-CO"/>
        </w:rPr>
      </w:pPr>
      <w:hyperlink w:anchor="_Toc155883061" w:history="1">
        <w:r w:rsidR="004E4AB7" w:rsidRPr="004439D0">
          <w:rPr>
            <w:rStyle w:val="Hipervnculo"/>
            <w:rFonts w:ascii="Verdana" w:hAnsi="Verdana" w:cs="Helvetica"/>
            <w:bCs/>
            <w:noProof/>
          </w:rPr>
          <w:t>12</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Seguros</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_Toc155883061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31</w:t>
        </w:r>
        <w:r w:rsidR="004E4AB7" w:rsidRPr="004439D0">
          <w:rPr>
            <w:rFonts w:ascii="Verdana" w:hAnsi="Verdana"/>
            <w:bCs/>
            <w:noProof/>
            <w:webHidden/>
          </w:rPr>
          <w:fldChar w:fldCharType="end"/>
        </w:r>
      </w:hyperlink>
    </w:p>
    <w:p w14:paraId="690C1EF9" w14:textId="54A61E11" w:rsidR="004E4AB7" w:rsidRPr="004439D0" w:rsidRDefault="001A499E">
      <w:pPr>
        <w:pStyle w:val="TDC2"/>
        <w:rPr>
          <w:rFonts w:ascii="Verdana" w:eastAsiaTheme="minorEastAsia" w:hAnsi="Verdana" w:cstheme="minorBidi"/>
          <w:bCs/>
          <w:noProof/>
          <w:lang w:val="es-CO" w:eastAsia="es-CO"/>
        </w:rPr>
      </w:pPr>
      <w:hyperlink w:anchor="_Toc155883062" w:history="1">
        <w:r w:rsidR="004E4AB7" w:rsidRPr="004439D0">
          <w:rPr>
            <w:rStyle w:val="Hipervnculo"/>
            <w:rFonts w:ascii="Verdana" w:hAnsi="Verdana" w:cs="Helvetica"/>
            <w:bCs/>
            <w:noProof/>
          </w:rPr>
          <w:t>13</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Seguridad de la Información</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_Toc155883062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32</w:t>
        </w:r>
        <w:r w:rsidR="004E4AB7" w:rsidRPr="004439D0">
          <w:rPr>
            <w:rFonts w:ascii="Verdana" w:hAnsi="Verdana"/>
            <w:bCs/>
            <w:noProof/>
            <w:webHidden/>
          </w:rPr>
          <w:fldChar w:fldCharType="end"/>
        </w:r>
      </w:hyperlink>
    </w:p>
    <w:p w14:paraId="110D2714" w14:textId="4C43F9F7" w:rsidR="004E4AB7" w:rsidRPr="004439D0" w:rsidRDefault="001A499E">
      <w:pPr>
        <w:pStyle w:val="TDC2"/>
        <w:rPr>
          <w:rFonts w:ascii="Verdana" w:eastAsiaTheme="minorEastAsia" w:hAnsi="Verdana" w:cstheme="minorBidi"/>
          <w:bCs/>
          <w:noProof/>
          <w:lang w:val="es-CO" w:eastAsia="es-CO"/>
        </w:rPr>
      </w:pPr>
      <w:hyperlink w:anchor="_Toc155883063" w:history="1">
        <w:r w:rsidR="004E4AB7" w:rsidRPr="004439D0">
          <w:rPr>
            <w:rStyle w:val="Hipervnculo"/>
            <w:rFonts w:ascii="Verdana" w:hAnsi="Verdana" w:cs="Helvetica"/>
            <w:bCs/>
            <w:noProof/>
          </w:rPr>
          <w:t>14</w:t>
        </w:r>
        <w:r w:rsidR="004E4AB7" w:rsidRPr="004439D0">
          <w:rPr>
            <w:rFonts w:ascii="Verdana" w:eastAsiaTheme="minorEastAsia" w:hAnsi="Verdana" w:cstheme="minorBidi"/>
            <w:bCs/>
            <w:noProof/>
            <w:lang w:val="es-CO" w:eastAsia="es-CO"/>
          </w:rPr>
          <w:tab/>
        </w:r>
        <w:r w:rsidR="004E4AB7" w:rsidRPr="004439D0">
          <w:rPr>
            <w:rStyle w:val="Hipervnculo"/>
            <w:rFonts w:ascii="Verdana" w:hAnsi="Verdana" w:cs="Helvetica"/>
            <w:bCs/>
            <w:noProof/>
          </w:rPr>
          <w:t>Continuidad del Negocio</w:t>
        </w:r>
        <w:r w:rsidR="004E4AB7" w:rsidRPr="004439D0">
          <w:rPr>
            <w:rFonts w:ascii="Verdana" w:hAnsi="Verdana"/>
            <w:bCs/>
            <w:noProof/>
            <w:webHidden/>
          </w:rPr>
          <w:tab/>
        </w:r>
        <w:r w:rsidR="004E4AB7" w:rsidRPr="004439D0">
          <w:rPr>
            <w:rFonts w:ascii="Verdana" w:hAnsi="Verdana"/>
            <w:bCs/>
            <w:noProof/>
            <w:webHidden/>
          </w:rPr>
          <w:fldChar w:fldCharType="begin"/>
        </w:r>
        <w:r w:rsidR="004E4AB7" w:rsidRPr="004439D0">
          <w:rPr>
            <w:rFonts w:ascii="Verdana" w:hAnsi="Verdana"/>
            <w:bCs/>
            <w:noProof/>
            <w:webHidden/>
          </w:rPr>
          <w:instrText xml:space="preserve"> PAGEREF _Toc155883063 \h </w:instrText>
        </w:r>
        <w:r w:rsidR="004E4AB7" w:rsidRPr="004439D0">
          <w:rPr>
            <w:rFonts w:ascii="Verdana" w:hAnsi="Verdana"/>
            <w:bCs/>
            <w:noProof/>
            <w:webHidden/>
          </w:rPr>
        </w:r>
        <w:r w:rsidR="004E4AB7" w:rsidRPr="004439D0">
          <w:rPr>
            <w:rFonts w:ascii="Verdana" w:hAnsi="Verdana"/>
            <w:bCs/>
            <w:noProof/>
            <w:webHidden/>
          </w:rPr>
          <w:fldChar w:fldCharType="separate"/>
        </w:r>
        <w:r w:rsidR="004E4AB7" w:rsidRPr="004439D0">
          <w:rPr>
            <w:rFonts w:ascii="Verdana" w:hAnsi="Verdana"/>
            <w:bCs/>
            <w:noProof/>
            <w:webHidden/>
          </w:rPr>
          <w:t>32</w:t>
        </w:r>
        <w:r w:rsidR="004E4AB7" w:rsidRPr="004439D0">
          <w:rPr>
            <w:rFonts w:ascii="Verdana" w:hAnsi="Verdana"/>
            <w:bCs/>
            <w:noProof/>
            <w:webHidden/>
          </w:rPr>
          <w:fldChar w:fldCharType="end"/>
        </w:r>
      </w:hyperlink>
    </w:p>
    <w:p w14:paraId="40A0DDF7" w14:textId="08FDD2A2" w:rsidR="004E4AB7" w:rsidRPr="004439D0" w:rsidRDefault="001A499E">
      <w:pPr>
        <w:pStyle w:val="TDC1"/>
        <w:rPr>
          <w:rFonts w:ascii="Verdana" w:eastAsiaTheme="minorEastAsia" w:hAnsi="Verdana" w:cstheme="minorBidi"/>
          <w:b w:val="0"/>
          <w:bCs/>
          <w:sz w:val="20"/>
          <w:lang w:val="es-CO" w:eastAsia="es-CO"/>
        </w:rPr>
      </w:pPr>
      <w:hyperlink w:anchor="_Toc155883064" w:history="1">
        <w:r w:rsidR="004E4AB7" w:rsidRPr="004439D0">
          <w:rPr>
            <w:rStyle w:val="Hipervnculo"/>
            <w:rFonts w:ascii="Verdana" w:hAnsi="Verdana" w:cs="Helvetica"/>
            <w:b w:val="0"/>
            <w:bCs/>
            <w:sz w:val="20"/>
          </w:rPr>
          <w:t>15</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HISTORIAL DE CAMBIOS</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_Toc155883064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35</w:t>
        </w:r>
        <w:r w:rsidR="004E4AB7" w:rsidRPr="004439D0">
          <w:rPr>
            <w:rFonts w:ascii="Verdana" w:hAnsi="Verdana"/>
            <w:b w:val="0"/>
            <w:bCs/>
            <w:webHidden/>
            <w:sz w:val="20"/>
          </w:rPr>
          <w:fldChar w:fldCharType="end"/>
        </w:r>
      </w:hyperlink>
    </w:p>
    <w:p w14:paraId="7670334E" w14:textId="01319205" w:rsidR="004E4AB7" w:rsidRPr="004439D0" w:rsidRDefault="001A499E">
      <w:pPr>
        <w:pStyle w:val="TDC1"/>
        <w:rPr>
          <w:rFonts w:ascii="Verdana" w:eastAsiaTheme="minorEastAsia" w:hAnsi="Verdana" w:cstheme="minorBidi"/>
          <w:b w:val="0"/>
          <w:bCs/>
          <w:sz w:val="20"/>
          <w:lang w:val="es-CO" w:eastAsia="es-CO"/>
        </w:rPr>
      </w:pPr>
      <w:hyperlink w:anchor="_Toc155883065" w:history="1">
        <w:r w:rsidR="004E4AB7" w:rsidRPr="004439D0">
          <w:rPr>
            <w:rStyle w:val="Hipervnculo"/>
            <w:rFonts w:ascii="Verdana" w:hAnsi="Verdana" w:cs="Helvetica"/>
            <w:b w:val="0"/>
            <w:bCs/>
            <w:sz w:val="20"/>
          </w:rPr>
          <w:t>16</w:t>
        </w:r>
        <w:r w:rsidR="004E4AB7" w:rsidRPr="004439D0">
          <w:rPr>
            <w:rFonts w:ascii="Verdana" w:eastAsiaTheme="minorEastAsia" w:hAnsi="Verdana" w:cstheme="minorBidi"/>
            <w:b w:val="0"/>
            <w:bCs/>
            <w:sz w:val="20"/>
            <w:lang w:val="es-CO" w:eastAsia="es-CO"/>
          </w:rPr>
          <w:tab/>
        </w:r>
        <w:r w:rsidR="004E4AB7" w:rsidRPr="004439D0">
          <w:rPr>
            <w:rStyle w:val="Hipervnculo"/>
            <w:rFonts w:ascii="Verdana" w:hAnsi="Verdana" w:cs="Helvetica"/>
            <w:b w:val="0"/>
            <w:bCs/>
            <w:sz w:val="20"/>
          </w:rPr>
          <w:t>APROBACIÓN</w:t>
        </w:r>
        <w:r w:rsidR="004E4AB7" w:rsidRPr="004439D0">
          <w:rPr>
            <w:rFonts w:ascii="Verdana" w:hAnsi="Verdana"/>
            <w:b w:val="0"/>
            <w:bCs/>
            <w:webHidden/>
            <w:sz w:val="20"/>
          </w:rPr>
          <w:tab/>
        </w:r>
        <w:r w:rsidR="004E4AB7" w:rsidRPr="004439D0">
          <w:rPr>
            <w:rFonts w:ascii="Verdana" w:hAnsi="Verdana"/>
            <w:b w:val="0"/>
            <w:bCs/>
            <w:webHidden/>
            <w:sz w:val="20"/>
          </w:rPr>
          <w:fldChar w:fldCharType="begin"/>
        </w:r>
        <w:r w:rsidR="004E4AB7" w:rsidRPr="004439D0">
          <w:rPr>
            <w:rFonts w:ascii="Verdana" w:hAnsi="Verdana"/>
            <w:b w:val="0"/>
            <w:bCs/>
            <w:webHidden/>
            <w:sz w:val="20"/>
          </w:rPr>
          <w:instrText xml:space="preserve"> PAGEREF _Toc155883065 \h </w:instrText>
        </w:r>
        <w:r w:rsidR="004E4AB7" w:rsidRPr="004439D0">
          <w:rPr>
            <w:rFonts w:ascii="Verdana" w:hAnsi="Verdana"/>
            <w:b w:val="0"/>
            <w:bCs/>
            <w:webHidden/>
            <w:sz w:val="20"/>
          </w:rPr>
        </w:r>
        <w:r w:rsidR="004E4AB7" w:rsidRPr="004439D0">
          <w:rPr>
            <w:rFonts w:ascii="Verdana" w:hAnsi="Verdana"/>
            <w:b w:val="0"/>
            <w:bCs/>
            <w:webHidden/>
            <w:sz w:val="20"/>
          </w:rPr>
          <w:fldChar w:fldCharType="separate"/>
        </w:r>
        <w:r w:rsidR="004E4AB7" w:rsidRPr="004439D0">
          <w:rPr>
            <w:rFonts w:ascii="Verdana" w:hAnsi="Verdana"/>
            <w:b w:val="0"/>
            <w:bCs/>
            <w:webHidden/>
            <w:sz w:val="20"/>
          </w:rPr>
          <w:t>35</w:t>
        </w:r>
        <w:r w:rsidR="004E4AB7" w:rsidRPr="004439D0">
          <w:rPr>
            <w:rFonts w:ascii="Verdana" w:hAnsi="Verdana"/>
            <w:b w:val="0"/>
            <w:bCs/>
            <w:webHidden/>
            <w:sz w:val="20"/>
          </w:rPr>
          <w:fldChar w:fldCharType="end"/>
        </w:r>
      </w:hyperlink>
    </w:p>
    <w:p w14:paraId="46AAAEC1" w14:textId="496D2ABA" w:rsidR="0094407F" w:rsidRPr="004439D0" w:rsidRDefault="0094407F" w:rsidP="00992EC7">
      <w:pPr>
        <w:jc w:val="both"/>
        <w:rPr>
          <w:rFonts w:ascii="Verdana" w:hAnsi="Verdana" w:cs="Helvetica"/>
        </w:rPr>
      </w:pPr>
      <w:r w:rsidRPr="004439D0">
        <w:rPr>
          <w:rFonts w:ascii="Verdana" w:hAnsi="Verdana" w:cs="Helvetica"/>
          <w:b/>
          <w:bCs/>
        </w:rPr>
        <w:fldChar w:fldCharType="end"/>
      </w:r>
    </w:p>
    <w:p w14:paraId="1CFEEE18" w14:textId="77777777" w:rsidR="00CC12BC" w:rsidRPr="004439D0" w:rsidRDefault="00CC12BC" w:rsidP="00992EC7">
      <w:pPr>
        <w:jc w:val="both"/>
        <w:rPr>
          <w:rFonts w:ascii="Verdana" w:hAnsi="Verdana" w:cs="Helvetica"/>
        </w:rPr>
      </w:pPr>
    </w:p>
    <w:p w14:paraId="6834FDAD" w14:textId="77777777" w:rsidR="00FE52EC" w:rsidRPr="004439D0" w:rsidRDefault="00FE52EC" w:rsidP="00992EC7">
      <w:pPr>
        <w:ind w:left="360"/>
        <w:jc w:val="both"/>
        <w:rPr>
          <w:rFonts w:ascii="Verdana" w:hAnsi="Verdana" w:cs="Helvetica"/>
          <w:b/>
          <w:sz w:val="22"/>
          <w:szCs w:val="22"/>
        </w:rPr>
      </w:pPr>
    </w:p>
    <w:p w14:paraId="53F4D1DA" w14:textId="3F438A25" w:rsidR="0094407F" w:rsidRPr="004439D0" w:rsidRDefault="0094407F" w:rsidP="00992EC7">
      <w:pPr>
        <w:ind w:left="360"/>
        <w:jc w:val="both"/>
        <w:rPr>
          <w:rFonts w:ascii="Verdana" w:hAnsi="Verdana" w:cs="Helvetica"/>
          <w:b/>
          <w:sz w:val="22"/>
          <w:szCs w:val="22"/>
        </w:rPr>
      </w:pPr>
    </w:p>
    <w:p w14:paraId="1D1781F7" w14:textId="77777777" w:rsidR="004E4AB7" w:rsidRPr="004439D0" w:rsidRDefault="004E4AB7" w:rsidP="00992EC7">
      <w:pPr>
        <w:ind w:left="360"/>
        <w:jc w:val="both"/>
        <w:rPr>
          <w:rFonts w:ascii="Verdana" w:hAnsi="Verdana" w:cs="Helvetica"/>
          <w:b/>
          <w:sz w:val="22"/>
          <w:szCs w:val="22"/>
        </w:rPr>
      </w:pPr>
    </w:p>
    <w:p w14:paraId="722389A2" w14:textId="672BADBA" w:rsidR="003E450F" w:rsidRPr="004439D0" w:rsidRDefault="003E450F" w:rsidP="00992EC7">
      <w:pPr>
        <w:ind w:left="360"/>
        <w:jc w:val="both"/>
        <w:rPr>
          <w:rFonts w:ascii="Verdana" w:hAnsi="Verdana" w:cs="Helvetica"/>
          <w:b/>
          <w:sz w:val="22"/>
          <w:szCs w:val="22"/>
        </w:rPr>
      </w:pPr>
    </w:p>
    <w:p w14:paraId="11B4B7F4" w14:textId="2EA1EBF2" w:rsidR="002C4C63" w:rsidRPr="004439D0" w:rsidRDefault="002C4C63" w:rsidP="00992EC7">
      <w:pPr>
        <w:ind w:left="360"/>
        <w:jc w:val="both"/>
        <w:rPr>
          <w:rFonts w:ascii="Verdana" w:hAnsi="Verdana" w:cs="Helvetica"/>
          <w:b/>
          <w:sz w:val="22"/>
          <w:szCs w:val="22"/>
        </w:rPr>
      </w:pPr>
    </w:p>
    <w:p w14:paraId="14E575F0" w14:textId="77777777" w:rsidR="009E36A7" w:rsidRPr="004439D0" w:rsidRDefault="009E36A7" w:rsidP="00992EC7">
      <w:pPr>
        <w:ind w:left="360"/>
        <w:jc w:val="both"/>
        <w:rPr>
          <w:rFonts w:ascii="Verdana" w:hAnsi="Verdana" w:cs="Helvetica"/>
          <w:b/>
          <w:sz w:val="22"/>
          <w:szCs w:val="22"/>
        </w:rPr>
      </w:pPr>
    </w:p>
    <w:p w14:paraId="58640C34" w14:textId="77777777" w:rsidR="003E450F" w:rsidRPr="004439D0" w:rsidRDefault="003E450F" w:rsidP="00992EC7">
      <w:pPr>
        <w:ind w:left="360"/>
        <w:jc w:val="both"/>
        <w:rPr>
          <w:rFonts w:ascii="Verdana" w:hAnsi="Verdana" w:cs="Helvetica"/>
          <w:b/>
          <w:sz w:val="22"/>
          <w:szCs w:val="22"/>
        </w:rPr>
      </w:pPr>
    </w:p>
    <w:p w14:paraId="45F5722B" w14:textId="0D456217" w:rsidR="00A23D16" w:rsidRPr="004439D0" w:rsidRDefault="00A23D16" w:rsidP="00FC7D4F">
      <w:pPr>
        <w:pStyle w:val="Ttulo1"/>
        <w:numPr>
          <w:ilvl w:val="0"/>
          <w:numId w:val="22"/>
        </w:numPr>
        <w:jc w:val="both"/>
        <w:rPr>
          <w:rFonts w:ascii="Verdana" w:hAnsi="Verdana" w:cs="Helvetica"/>
          <w:sz w:val="22"/>
          <w:szCs w:val="22"/>
        </w:rPr>
      </w:pPr>
      <w:bookmarkStart w:id="2" w:name="_Toc155883030"/>
      <w:bookmarkStart w:id="3" w:name="_Toc181004292"/>
      <w:r w:rsidRPr="004439D0">
        <w:rPr>
          <w:rFonts w:ascii="Verdana" w:hAnsi="Verdana" w:cs="Helvetica"/>
          <w:sz w:val="22"/>
          <w:szCs w:val="22"/>
        </w:rPr>
        <w:lastRenderedPageBreak/>
        <w:t>INTRODUCCIÓN</w:t>
      </w:r>
      <w:bookmarkEnd w:id="2"/>
      <w:r w:rsidR="00CB26AD" w:rsidRPr="004439D0">
        <w:rPr>
          <w:rFonts w:ascii="Verdana" w:hAnsi="Verdana" w:cs="Helvetica"/>
          <w:sz w:val="22"/>
          <w:szCs w:val="22"/>
        </w:rPr>
        <w:t xml:space="preserve"> </w:t>
      </w:r>
    </w:p>
    <w:p w14:paraId="7429C711" w14:textId="77777777" w:rsidR="00386147" w:rsidRPr="004439D0" w:rsidRDefault="00386147" w:rsidP="00992EC7">
      <w:pPr>
        <w:jc w:val="both"/>
        <w:rPr>
          <w:rFonts w:ascii="Verdana" w:hAnsi="Verdana" w:cs="Helvetica"/>
          <w:sz w:val="22"/>
          <w:szCs w:val="22"/>
        </w:rPr>
      </w:pPr>
    </w:p>
    <w:p w14:paraId="5BF0AF3C" w14:textId="4E5BFD48" w:rsidR="00D37E14" w:rsidRPr="004439D0" w:rsidRDefault="00D37E14" w:rsidP="00992EC7">
      <w:pPr>
        <w:spacing w:after="200" w:line="276" w:lineRule="auto"/>
        <w:jc w:val="both"/>
        <w:rPr>
          <w:rFonts w:ascii="Verdana" w:hAnsi="Verdana" w:cs="Helvetica"/>
          <w:sz w:val="22"/>
          <w:szCs w:val="22"/>
        </w:rPr>
      </w:pPr>
      <w:r w:rsidRPr="004439D0">
        <w:rPr>
          <w:rFonts w:ascii="Verdana" w:hAnsi="Verdana" w:cs="Helvetica"/>
          <w:sz w:val="22"/>
          <w:szCs w:val="22"/>
        </w:rPr>
        <w:t xml:space="preserve">El Manual de Gestión del Riesgo Operativo de la Dirección General de Crédito </w:t>
      </w:r>
      <w:r w:rsidR="004E4AB7" w:rsidRPr="004439D0">
        <w:rPr>
          <w:rFonts w:ascii="Verdana" w:hAnsi="Verdana" w:cs="Helvetica"/>
          <w:sz w:val="22"/>
          <w:szCs w:val="22"/>
        </w:rPr>
        <w:t>Público</w:t>
      </w:r>
      <w:r w:rsidRPr="004439D0">
        <w:rPr>
          <w:rFonts w:ascii="Verdana" w:hAnsi="Verdana" w:cs="Helvetica"/>
          <w:sz w:val="22"/>
          <w:szCs w:val="22"/>
        </w:rPr>
        <w:t xml:space="preserve"> y Tesoro Nacional (DGCPTN) del Ministerio de Hacienda y Crédito Público (MHCP) describe las normas y/o principios generales que la Dirección usa en su administración del riesgo operativo. Este documento es parte integral de las políticas y los procedimientos del Ministerio que en su conjunto articulan un adecuado gobierno interno y la estructura de control.</w:t>
      </w:r>
    </w:p>
    <w:p w14:paraId="3B7F7ABF" w14:textId="77777777" w:rsidR="00D37E14" w:rsidRPr="004439D0" w:rsidRDefault="00D37E14" w:rsidP="00992EC7">
      <w:pPr>
        <w:spacing w:after="200" w:line="276" w:lineRule="auto"/>
        <w:jc w:val="both"/>
        <w:rPr>
          <w:rFonts w:ascii="Verdana" w:hAnsi="Verdana" w:cs="Helvetica"/>
          <w:sz w:val="22"/>
          <w:szCs w:val="22"/>
        </w:rPr>
      </w:pPr>
      <w:r w:rsidRPr="004439D0">
        <w:rPr>
          <w:rFonts w:ascii="Verdana" w:hAnsi="Verdana" w:cs="Helvetica"/>
          <w:sz w:val="22"/>
          <w:szCs w:val="22"/>
        </w:rPr>
        <w:t xml:space="preserve">Otras políticas y procedimientos de riesgo operativo más específicos podrán ser desarrollados dentro del marco establecido por esta manual, cuando sea necesario o apropiado. Se hace también referencia a otros documentos de política, presentados en la Sección 1.4, los cuales complementan las políticas descritas en este documento. </w:t>
      </w:r>
    </w:p>
    <w:p w14:paraId="2494C515" w14:textId="5B153D56" w:rsidR="00D37E14" w:rsidRPr="004439D0" w:rsidRDefault="00D37E14" w:rsidP="00992EC7">
      <w:pPr>
        <w:spacing w:after="200" w:line="276" w:lineRule="auto"/>
        <w:jc w:val="both"/>
        <w:rPr>
          <w:rFonts w:ascii="Verdana" w:hAnsi="Verdana" w:cs="Helvetica"/>
          <w:sz w:val="22"/>
          <w:szCs w:val="22"/>
        </w:rPr>
      </w:pPr>
      <w:r w:rsidRPr="004439D0">
        <w:rPr>
          <w:rFonts w:ascii="Verdana" w:hAnsi="Verdana" w:cs="Helvetica"/>
          <w:sz w:val="22"/>
          <w:szCs w:val="22"/>
        </w:rPr>
        <w:t>La Dirección General de Crédito Público y Tesoro Nacional en cumplimiento de sus responsabilidades, establece y aprueba procesos efectivos de gobierno interno, de gestión estratégica y de gestión de riesgos, para identificar, evaluar y supervisar debidamente las actividades operativas de la Dirección. Para ello, la Dirección General encarga a la Subdirección de Riesgos, del mantenimiento de políticas operativas sanas y prudentes para la consideración y aprobación, así como el desarrollo y ejecución de un programa de gestión de riesgo operativo efectivo.</w:t>
      </w:r>
    </w:p>
    <w:p w14:paraId="1A3CA9AD" w14:textId="77777777" w:rsidR="006D0D5F" w:rsidRPr="004439D0" w:rsidRDefault="006D0D5F" w:rsidP="00FC7D4F">
      <w:pPr>
        <w:pStyle w:val="Ttulo3"/>
        <w:numPr>
          <w:ilvl w:val="1"/>
          <w:numId w:val="4"/>
        </w:numPr>
        <w:ind w:left="1080"/>
        <w:rPr>
          <w:rFonts w:ascii="Verdana" w:hAnsi="Verdana"/>
        </w:rPr>
      </w:pPr>
      <w:bookmarkStart w:id="4" w:name="_Toc4590607"/>
      <w:bookmarkStart w:id="5" w:name="_Toc155883031"/>
      <w:r w:rsidRPr="004439D0">
        <w:rPr>
          <w:rStyle w:val="Ttulo3Car"/>
          <w:rFonts w:ascii="Verdana" w:hAnsi="Verdana" w:cs="Helvetica"/>
          <w:b/>
          <w:sz w:val="22"/>
          <w:szCs w:val="22"/>
        </w:rPr>
        <w:t>Antecedentes</w:t>
      </w:r>
      <w:bookmarkEnd w:id="4"/>
      <w:bookmarkEnd w:id="5"/>
      <w:r w:rsidRPr="004439D0">
        <w:rPr>
          <w:rStyle w:val="Ttulo3Car"/>
          <w:rFonts w:ascii="Verdana" w:hAnsi="Verdana"/>
          <w:b/>
        </w:rPr>
        <w:t xml:space="preserve"> </w:t>
      </w:r>
    </w:p>
    <w:p w14:paraId="24462219" w14:textId="77777777" w:rsidR="006D0D5F" w:rsidRPr="004439D0" w:rsidRDefault="006D0D5F" w:rsidP="006D0D5F">
      <w:pPr>
        <w:autoSpaceDE w:val="0"/>
        <w:autoSpaceDN w:val="0"/>
        <w:adjustRightInd w:val="0"/>
        <w:spacing w:line="276" w:lineRule="auto"/>
        <w:rPr>
          <w:rFonts w:ascii="Verdana" w:hAnsi="Verdana" w:cs="Arial"/>
          <w:color w:val="000000"/>
        </w:rPr>
      </w:pPr>
    </w:p>
    <w:p w14:paraId="3196E12A" w14:textId="77777777" w:rsidR="006D0D5F" w:rsidRPr="004439D0" w:rsidRDefault="006D0D5F" w:rsidP="008C6B03">
      <w:pPr>
        <w:autoSpaceDE w:val="0"/>
        <w:autoSpaceDN w:val="0"/>
        <w:adjustRightInd w:val="0"/>
        <w:spacing w:line="276" w:lineRule="auto"/>
        <w:jc w:val="both"/>
        <w:rPr>
          <w:rFonts w:ascii="Verdana" w:hAnsi="Verdana" w:cs="Helvetica"/>
          <w:color w:val="000000"/>
          <w:sz w:val="22"/>
          <w:szCs w:val="22"/>
        </w:rPr>
      </w:pPr>
      <w:r w:rsidRPr="004439D0">
        <w:rPr>
          <w:rFonts w:ascii="Verdana" w:hAnsi="Verdana" w:cs="Helvetica"/>
          <w:color w:val="000000"/>
          <w:sz w:val="22"/>
          <w:szCs w:val="22"/>
        </w:rPr>
        <w:t>En los últimos años con la globalización de los servicios financieros, la creciente sofisticación de las tecnologías, y la materialización de eventos de riesgo asociados directamente a las ejecución de operaciones,  ha llamado la atención de los diferentes organismos de supervisión la adecuada administración del riesgo, en 1999 el Comité Conjunto de Estándares Australia / Estándares Nueva Zelanda OB-007 de Administración de Riesgos, documenta el estándar internacional para la administración del riesgo, de igual forma  en 2006 el Comité de Supervisión Bancaria de Basilea publica el documento No. 2 “Convergencia internacional de medidas y normas de capital” el cual incluye en las estimaciones de capital para los bancos con actividad internacional, este documento recoge el Marco acordado para estimar la suficiencia de capital, así como los estándares mínimos a alcanzar, que las autoridades supervisoras de los países representados en el Comité presentarán para su adopción en sus respectivos países. Este Marco y los estándares en él recogidos, han contado con el respaldo de los Gobernadores de los Bancos Centrales y de los Jefes de Supervisión Bancaria del Grupo de los Diez</w:t>
      </w:r>
      <w:r w:rsidRPr="004439D0">
        <w:rPr>
          <w:rStyle w:val="Refdenotaalpie"/>
          <w:rFonts w:ascii="Verdana" w:hAnsi="Verdana" w:cs="Helvetica"/>
          <w:color w:val="000000"/>
          <w:sz w:val="22"/>
          <w:szCs w:val="22"/>
        </w:rPr>
        <w:footnoteReference w:id="1"/>
      </w:r>
      <w:r w:rsidRPr="004439D0">
        <w:rPr>
          <w:rFonts w:ascii="Verdana" w:hAnsi="Verdana" w:cs="Helvetica"/>
          <w:color w:val="000000"/>
          <w:sz w:val="22"/>
          <w:szCs w:val="22"/>
        </w:rPr>
        <w:t>.  En el ámbito nacional la Superintendencia Financiera de Colombia en 2006 publica la Circular Externa 048, la cual establece las Instrucciones Relativas a la Adopción de un Sistema de Administración de Riesgo Operativo (SARO). Para las entidades vigiladas, y crea el capítulo 23 de la circular 100 de 1995, posteriormente modificada por la Circular Externa 041 de 2007.</w:t>
      </w:r>
    </w:p>
    <w:p w14:paraId="0448D80F" w14:textId="77777777" w:rsidR="006D0D5F" w:rsidRPr="004439D0" w:rsidRDefault="006D0D5F" w:rsidP="008C6B03">
      <w:pPr>
        <w:autoSpaceDE w:val="0"/>
        <w:autoSpaceDN w:val="0"/>
        <w:adjustRightInd w:val="0"/>
        <w:spacing w:line="276" w:lineRule="auto"/>
        <w:jc w:val="both"/>
        <w:rPr>
          <w:rFonts w:ascii="Verdana" w:hAnsi="Verdana" w:cs="Helvetica"/>
          <w:color w:val="000000"/>
          <w:sz w:val="22"/>
          <w:szCs w:val="22"/>
        </w:rPr>
      </w:pPr>
    </w:p>
    <w:p w14:paraId="79957C15" w14:textId="77777777" w:rsidR="006D0D5F" w:rsidRPr="004439D0" w:rsidRDefault="006D0D5F" w:rsidP="008C6B03">
      <w:pPr>
        <w:autoSpaceDE w:val="0"/>
        <w:autoSpaceDN w:val="0"/>
        <w:adjustRightInd w:val="0"/>
        <w:spacing w:line="276" w:lineRule="auto"/>
        <w:jc w:val="both"/>
        <w:rPr>
          <w:rFonts w:ascii="Verdana" w:hAnsi="Verdana" w:cs="Helvetica"/>
          <w:sz w:val="22"/>
          <w:szCs w:val="22"/>
        </w:rPr>
      </w:pPr>
      <w:r w:rsidRPr="004439D0">
        <w:rPr>
          <w:rFonts w:ascii="Verdana" w:hAnsi="Verdana" w:cs="Helvetica"/>
          <w:color w:val="000000"/>
          <w:sz w:val="22"/>
          <w:szCs w:val="22"/>
        </w:rPr>
        <w:t>De acuerdo con lo anterior y con la evolución de las prácticas financieras, es necesario para los bancos o tesorerías adoptar mecanismos de administración del riesgo operativo con el fin de mitigar los riesgos, aparte de los riesgos de crédito, de tipos de interés, liquidez y de mercado.</w:t>
      </w:r>
    </w:p>
    <w:p w14:paraId="7026C411" w14:textId="77777777" w:rsidR="006D0D5F" w:rsidRPr="004439D0" w:rsidRDefault="006D0D5F" w:rsidP="00992EC7">
      <w:pPr>
        <w:spacing w:after="200" w:line="276" w:lineRule="auto"/>
        <w:jc w:val="both"/>
        <w:rPr>
          <w:rFonts w:ascii="Verdana" w:hAnsi="Verdana" w:cs="Helvetica"/>
          <w:sz w:val="22"/>
          <w:szCs w:val="22"/>
        </w:rPr>
      </w:pPr>
    </w:p>
    <w:p w14:paraId="372163F7" w14:textId="77777777" w:rsidR="00FE52EC" w:rsidRPr="004439D0" w:rsidRDefault="00E00CE9" w:rsidP="00FC7D4F">
      <w:pPr>
        <w:pStyle w:val="Ttulo1"/>
        <w:numPr>
          <w:ilvl w:val="0"/>
          <w:numId w:val="22"/>
        </w:numPr>
        <w:jc w:val="both"/>
        <w:rPr>
          <w:rFonts w:ascii="Verdana" w:hAnsi="Verdana" w:cs="Helvetica"/>
          <w:sz w:val="22"/>
          <w:szCs w:val="22"/>
        </w:rPr>
      </w:pPr>
      <w:bookmarkStart w:id="6" w:name="_Toc155883032"/>
      <w:r w:rsidRPr="004439D0">
        <w:rPr>
          <w:rFonts w:ascii="Verdana" w:hAnsi="Verdana" w:cs="Helvetica"/>
          <w:sz w:val="22"/>
          <w:szCs w:val="22"/>
        </w:rPr>
        <w:t>OBJETIVO</w:t>
      </w:r>
      <w:bookmarkEnd w:id="0"/>
      <w:bookmarkEnd w:id="1"/>
      <w:bookmarkEnd w:id="3"/>
      <w:bookmarkEnd w:id="6"/>
      <w:r w:rsidRPr="004439D0">
        <w:rPr>
          <w:rFonts w:ascii="Verdana" w:hAnsi="Verdana" w:cs="Helvetica"/>
          <w:sz w:val="22"/>
          <w:szCs w:val="22"/>
        </w:rPr>
        <w:t xml:space="preserve"> </w:t>
      </w:r>
    </w:p>
    <w:p w14:paraId="1704C7E9" w14:textId="77777777" w:rsidR="00FE52EC" w:rsidRPr="004439D0" w:rsidRDefault="00FE52EC" w:rsidP="00992EC7">
      <w:pPr>
        <w:ind w:left="360"/>
        <w:jc w:val="both"/>
        <w:rPr>
          <w:rFonts w:ascii="Verdana" w:hAnsi="Verdana" w:cs="Helvetica"/>
          <w:b/>
          <w:sz w:val="22"/>
          <w:szCs w:val="22"/>
        </w:rPr>
      </w:pPr>
    </w:p>
    <w:p w14:paraId="650C5811" w14:textId="55E63BF4" w:rsidR="00D37E14" w:rsidRPr="004439D0" w:rsidRDefault="00D37E14"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Establecer las políticas, metodologías, procedimientos y responsabilidades que se deben tener en cuenta en la operatividad de la Dirección General de Crédito </w:t>
      </w:r>
      <w:r w:rsidR="00A6330A" w:rsidRPr="004439D0">
        <w:rPr>
          <w:rFonts w:ascii="Verdana" w:hAnsi="Verdana" w:cs="Helvetica"/>
          <w:color w:val="000000"/>
          <w:sz w:val="22"/>
          <w:szCs w:val="22"/>
        </w:rPr>
        <w:t>Público</w:t>
      </w:r>
      <w:r w:rsidRPr="004439D0">
        <w:rPr>
          <w:rFonts w:ascii="Verdana" w:hAnsi="Verdana" w:cs="Helvetica"/>
          <w:color w:val="000000"/>
          <w:sz w:val="22"/>
          <w:szCs w:val="22"/>
        </w:rPr>
        <w:t xml:space="preserve"> y Tesoro Nacional por parte de todos los funcionarios de la Dirección. </w:t>
      </w:r>
    </w:p>
    <w:p w14:paraId="13A670A7" w14:textId="77777777" w:rsidR="008C6B03" w:rsidRPr="004439D0" w:rsidRDefault="008C6B03" w:rsidP="00992EC7">
      <w:pPr>
        <w:spacing w:line="276" w:lineRule="auto"/>
        <w:jc w:val="both"/>
        <w:rPr>
          <w:rFonts w:ascii="Verdana" w:hAnsi="Verdana" w:cs="Helvetica"/>
          <w:color w:val="000000"/>
          <w:sz w:val="22"/>
          <w:szCs w:val="22"/>
        </w:rPr>
      </w:pPr>
    </w:p>
    <w:p w14:paraId="2E9474E7" w14:textId="77777777" w:rsidR="00CC12BC" w:rsidRPr="004439D0" w:rsidRDefault="00CC12BC" w:rsidP="00992EC7">
      <w:pPr>
        <w:pStyle w:val="Prrafodelista"/>
        <w:jc w:val="both"/>
        <w:rPr>
          <w:rFonts w:ascii="Verdana" w:hAnsi="Verdana" w:cs="Helvetica"/>
          <w:sz w:val="22"/>
          <w:szCs w:val="22"/>
        </w:rPr>
      </w:pPr>
    </w:p>
    <w:p w14:paraId="10558E63" w14:textId="09132B45" w:rsidR="00CC12BC" w:rsidRPr="004439D0" w:rsidRDefault="00CC12BC" w:rsidP="00FC7D4F">
      <w:pPr>
        <w:pStyle w:val="Ttulo2"/>
        <w:numPr>
          <w:ilvl w:val="1"/>
          <w:numId w:val="23"/>
        </w:numPr>
        <w:rPr>
          <w:rFonts w:ascii="Verdana" w:hAnsi="Verdana" w:cs="Helvetica"/>
          <w:sz w:val="22"/>
          <w:szCs w:val="22"/>
        </w:rPr>
      </w:pPr>
      <w:bookmarkStart w:id="7" w:name="_Toc155883033"/>
      <w:r w:rsidRPr="004439D0">
        <w:rPr>
          <w:rFonts w:ascii="Verdana" w:hAnsi="Verdana" w:cs="Helvetica"/>
          <w:sz w:val="22"/>
          <w:szCs w:val="22"/>
        </w:rPr>
        <w:t>Objetivos Específicos</w:t>
      </w:r>
      <w:bookmarkEnd w:id="7"/>
      <w:r w:rsidRPr="004439D0">
        <w:rPr>
          <w:rFonts w:ascii="Verdana" w:hAnsi="Verdana" w:cs="Helvetica"/>
          <w:sz w:val="22"/>
          <w:szCs w:val="22"/>
        </w:rPr>
        <w:t xml:space="preserve"> </w:t>
      </w:r>
    </w:p>
    <w:p w14:paraId="3D441A3C" w14:textId="77777777" w:rsidR="00CC12BC" w:rsidRPr="004439D0" w:rsidRDefault="00CC12BC" w:rsidP="00992EC7">
      <w:pPr>
        <w:jc w:val="both"/>
        <w:rPr>
          <w:rFonts w:ascii="Verdana" w:hAnsi="Verdana" w:cs="Helvetica"/>
          <w:sz w:val="22"/>
          <w:szCs w:val="22"/>
        </w:rPr>
      </w:pPr>
    </w:p>
    <w:p w14:paraId="687F7922" w14:textId="0660E1CF" w:rsidR="00D37E14" w:rsidRDefault="00D37E14"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Proporcionar al Ministerio una herramienta que permita identificar, medir, controlar y monitorear el riesgo operativo, buscando minimizar las pérdidas, por la ocurrencia de acontecimientos internos o externos.</w:t>
      </w:r>
    </w:p>
    <w:p w14:paraId="4DC3821D" w14:textId="77777777" w:rsidR="004439D0" w:rsidRPr="004439D0" w:rsidRDefault="004439D0" w:rsidP="00992EC7">
      <w:pPr>
        <w:spacing w:line="276" w:lineRule="auto"/>
        <w:jc w:val="both"/>
        <w:rPr>
          <w:rFonts w:ascii="Verdana" w:hAnsi="Verdana" w:cs="Helvetica"/>
          <w:color w:val="000000"/>
          <w:sz w:val="22"/>
          <w:szCs w:val="22"/>
        </w:rPr>
      </w:pPr>
    </w:p>
    <w:p w14:paraId="7D56F2CD" w14:textId="77777777" w:rsidR="00D37E14" w:rsidRPr="004439D0" w:rsidRDefault="00D37E14"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Con el desarrollo e implementación de la presente política lo que busca la Dirección es:</w:t>
      </w:r>
    </w:p>
    <w:p w14:paraId="0BADA06E"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Impulsar la cultura en materia de riesgo operativo.</w:t>
      </w:r>
    </w:p>
    <w:p w14:paraId="1EF05C7A"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Prevenir la pérdida de recursos monetarios, mediante la debida y permanente identificación y control de los riesgos asociados.</w:t>
      </w:r>
    </w:p>
    <w:p w14:paraId="061876DC"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Identificar los cambios en los controles y los factores de riesgo operativo.</w:t>
      </w:r>
    </w:p>
    <w:p w14:paraId="739494C9"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Contar con una estructura organizativa que promueva la administración adecuada del riesgo operativo. </w:t>
      </w:r>
    </w:p>
    <w:p w14:paraId="261CCC12"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Establecer una metodología que permita llevar a cabo la identificación, análisis, valoración, tratamiento, comunicación y monitoreo de dicho riesgo, contando con el apoyo de la Dirección General e involucrando a todos los colaboradores del Ministerio. </w:t>
      </w:r>
    </w:p>
    <w:p w14:paraId="39CD9B7E" w14:textId="77777777" w:rsidR="00D37E14" w:rsidRPr="004439D0" w:rsidRDefault="00D37E14" w:rsidP="00FC7D4F">
      <w:pPr>
        <w:numPr>
          <w:ilvl w:val="0"/>
          <w:numId w:val="2"/>
        </w:numPr>
        <w:spacing w:before="100" w:beforeAutospacing="1" w:after="100" w:afterAutospacing="1" w:line="276" w:lineRule="auto"/>
        <w:jc w:val="both"/>
        <w:rPr>
          <w:rFonts w:ascii="Verdana" w:hAnsi="Verdana" w:cs="Helvetica"/>
          <w:color w:val="000000"/>
          <w:sz w:val="22"/>
          <w:szCs w:val="22"/>
        </w:rPr>
      </w:pPr>
      <w:r w:rsidRPr="004439D0">
        <w:rPr>
          <w:rFonts w:ascii="Verdana" w:hAnsi="Verdana" w:cs="Helvetica"/>
          <w:color w:val="000000"/>
          <w:sz w:val="22"/>
          <w:szCs w:val="22"/>
        </w:rPr>
        <w:t>Definir e identificar necesidades de capacitación, mayor conocimiento de los procesos, los sistemas de información y todo el ambiente necesario para la gestión del riesgo operativo.</w:t>
      </w:r>
    </w:p>
    <w:p w14:paraId="6A2F951E" w14:textId="77777777" w:rsidR="0094407F" w:rsidRPr="004439D0" w:rsidRDefault="0094407F" w:rsidP="00992EC7">
      <w:pPr>
        <w:jc w:val="both"/>
        <w:rPr>
          <w:rFonts w:ascii="Verdana" w:hAnsi="Verdana" w:cs="Helvetica"/>
          <w:sz w:val="22"/>
          <w:szCs w:val="22"/>
        </w:rPr>
      </w:pPr>
    </w:p>
    <w:p w14:paraId="3E78A02D" w14:textId="77777777" w:rsidR="0078679A" w:rsidRPr="004439D0" w:rsidRDefault="0078679A" w:rsidP="00FC7D4F">
      <w:pPr>
        <w:pStyle w:val="Ttulo1"/>
        <w:numPr>
          <w:ilvl w:val="0"/>
          <w:numId w:val="23"/>
        </w:numPr>
        <w:jc w:val="both"/>
        <w:rPr>
          <w:rFonts w:ascii="Verdana" w:hAnsi="Verdana" w:cs="Helvetica"/>
          <w:sz w:val="22"/>
          <w:szCs w:val="22"/>
        </w:rPr>
      </w:pPr>
      <w:bookmarkStart w:id="8" w:name="_Toc155883034"/>
      <w:r w:rsidRPr="004439D0">
        <w:rPr>
          <w:rFonts w:ascii="Verdana" w:hAnsi="Verdana" w:cs="Helvetica"/>
          <w:sz w:val="22"/>
          <w:szCs w:val="22"/>
        </w:rPr>
        <w:t>ALCANCE</w:t>
      </w:r>
      <w:bookmarkEnd w:id="8"/>
    </w:p>
    <w:p w14:paraId="34A5B6FD" w14:textId="77777777" w:rsidR="00FE52EC" w:rsidRPr="004439D0" w:rsidRDefault="00FE52EC" w:rsidP="00992EC7">
      <w:pPr>
        <w:jc w:val="both"/>
        <w:rPr>
          <w:rFonts w:ascii="Verdana" w:hAnsi="Verdana" w:cs="Helvetica"/>
          <w:b/>
          <w:sz w:val="22"/>
          <w:szCs w:val="22"/>
        </w:rPr>
      </w:pPr>
    </w:p>
    <w:p w14:paraId="3DD3509A" w14:textId="77777777" w:rsidR="00D37E14" w:rsidRPr="004439D0" w:rsidRDefault="00D37E14" w:rsidP="00992EC7">
      <w:pPr>
        <w:ind w:left="360"/>
        <w:jc w:val="both"/>
        <w:rPr>
          <w:rFonts w:ascii="Verdana" w:hAnsi="Verdana" w:cs="Helvetica"/>
          <w:color w:val="000000"/>
          <w:sz w:val="22"/>
          <w:szCs w:val="22"/>
        </w:rPr>
      </w:pPr>
      <w:r w:rsidRPr="004439D0">
        <w:rPr>
          <w:rFonts w:ascii="Verdana" w:hAnsi="Verdana" w:cs="Helvetica"/>
          <w:color w:val="000000"/>
          <w:sz w:val="22"/>
          <w:szCs w:val="22"/>
        </w:rPr>
        <w:t>Desde la definición de políticas a implementar a las operaciones de la Dirección General de Crédito Público y Tesoro Nacional, hasta la definición de lineamientos de riesgo operativo y los mecanismos de seguimiento a los controles establecidos en el presente manual para dichas operaciones.</w:t>
      </w:r>
    </w:p>
    <w:p w14:paraId="7C56FC4F" w14:textId="77777777" w:rsidR="00CC12BC" w:rsidRPr="004439D0" w:rsidRDefault="00CC12BC" w:rsidP="00992EC7">
      <w:pPr>
        <w:jc w:val="both"/>
        <w:rPr>
          <w:rFonts w:ascii="Verdana" w:hAnsi="Verdana" w:cs="Helvetica"/>
          <w:bCs/>
          <w:i/>
          <w:color w:val="806000"/>
          <w:sz w:val="22"/>
          <w:szCs w:val="22"/>
        </w:rPr>
      </w:pPr>
    </w:p>
    <w:p w14:paraId="301A514B" w14:textId="77777777" w:rsidR="00386147" w:rsidRPr="004439D0" w:rsidRDefault="00386147" w:rsidP="00992EC7">
      <w:pPr>
        <w:jc w:val="both"/>
        <w:rPr>
          <w:rFonts w:ascii="Verdana" w:hAnsi="Verdana" w:cs="Helvetica"/>
          <w:sz w:val="22"/>
          <w:szCs w:val="22"/>
        </w:rPr>
      </w:pPr>
    </w:p>
    <w:p w14:paraId="7CAD87FA" w14:textId="77777777" w:rsidR="00CC12BC" w:rsidRPr="004439D0" w:rsidRDefault="00CC12BC" w:rsidP="00FC7D4F">
      <w:pPr>
        <w:pStyle w:val="Ttulo1"/>
        <w:numPr>
          <w:ilvl w:val="0"/>
          <w:numId w:val="23"/>
        </w:numPr>
        <w:jc w:val="both"/>
        <w:rPr>
          <w:rFonts w:ascii="Verdana" w:hAnsi="Verdana" w:cs="Helvetica"/>
          <w:sz w:val="22"/>
          <w:szCs w:val="22"/>
        </w:rPr>
      </w:pPr>
      <w:bookmarkStart w:id="9" w:name="_Toc155883035"/>
      <w:r w:rsidRPr="004439D0">
        <w:rPr>
          <w:rFonts w:ascii="Verdana" w:hAnsi="Verdana" w:cs="Helvetica"/>
          <w:sz w:val="22"/>
          <w:szCs w:val="22"/>
        </w:rPr>
        <w:t>PRODUCTOS ESPERADOS</w:t>
      </w:r>
      <w:bookmarkEnd w:id="9"/>
      <w:r w:rsidRPr="004439D0">
        <w:rPr>
          <w:rFonts w:ascii="Verdana" w:hAnsi="Verdana" w:cs="Helvetica"/>
          <w:sz w:val="22"/>
          <w:szCs w:val="22"/>
        </w:rPr>
        <w:t xml:space="preserve"> </w:t>
      </w:r>
    </w:p>
    <w:p w14:paraId="28468AF1" w14:textId="77777777" w:rsidR="00CC12BC" w:rsidRPr="004439D0" w:rsidRDefault="00CC12BC" w:rsidP="00992EC7">
      <w:pPr>
        <w:jc w:val="both"/>
        <w:rPr>
          <w:rFonts w:ascii="Verdana" w:hAnsi="Verdana" w:cs="Helvetica"/>
          <w:sz w:val="22"/>
          <w:szCs w:val="22"/>
        </w:rPr>
      </w:pPr>
    </w:p>
    <w:p w14:paraId="73747579" w14:textId="77777777" w:rsidR="00D37E14" w:rsidRPr="004439D0" w:rsidRDefault="00D37E14"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La adecuada aplicación de este manual le permitirá a la Dirección, entre otros aspectos los siguientes: </w:t>
      </w:r>
    </w:p>
    <w:p w14:paraId="55CB85C0" w14:textId="77777777" w:rsidR="00D37E14" w:rsidRPr="004439D0" w:rsidRDefault="00D37E14" w:rsidP="00992EC7">
      <w:pPr>
        <w:spacing w:line="276" w:lineRule="auto"/>
        <w:jc w:val="both"/>
        <w:rPr>
          <w:rFonts w:ascii="Verdana" w:hAnsi="Verdana" w:cs="Helvetica"/>
          <w:color w:val="000000"/>
          <w:sz w:val="22"/>
          <w:szCs w:val="22"/>
        </w:rPr>
      </w:pPr>
    </w:p>
    <w:p w14:paraId="7BD6F070"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Construir un adecuado ambiente de control para cada proceso.</w:t>
      </w:r>
    </w:p>
    <w:p w14:paraId="7FD2E2C8"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Identificar los Riesgos que puedan presentarse en el proceso y minimizarlos.</w:t>
      </w:r>
    </w:p>
    <w:p w14:paraId="58531AA6"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Identificar las causas generadoras de los riesgos.</w:t>
      </w:r>
    </w:p>
    <w:p w14:paraId="07324639"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Realizar una medición y una cuantificación de los riesgos inherentes y residuales a los procesos.</w:t>
      </w:r>
    </w:p>
    <w:p w14:paraId="2EBCAC1C"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Monitorear periódicamente los perfiles de riesgo y la exposición a posibles pérdidas que estos puedan originar.</w:t>
      </w:r>
    </w:p>
    <w:p w14:paraId="172378E1"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Reportar el resultado de los mapas de riesgo a las áreas o entidades interesadas. </w:t>
      </w:r>
    </w:p>
    <w:p w14:paraId="46E106E3" w14:textId="77777777" w:rsidR="00D37E14" w:rsidRPr="004439D0" w:rsidRDefault="00D37E14" w:rsidP="00F51EBB">
      <w:pPr>
        <w:pStyle w:val="Prrafodelista"/>
        <w:numPr>
          <w:ilvl w:val="0"/>
          <w:numId w:val="3"/>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Mantener una base de datos de eventos de riesgos operativos materializados, con el fin de hacer seguimiento a la implementación de planes de acción de mitigación y documentar las lecciones aprendidas.</w:t>
      </w:r>
    </w:p>
    <w:p w14:paraId="41D20051" w14:textId="77777777" w:rsidR="00D37E14" w:rsidRPr="004439D0" w:rsidRDefault="00D37E14" w:rsidP="00F51EBB">
      <w:pPr>
        <w:pStyle w:val="Prrafodelista"/>
        <w:numPr>
          <w:ilvl w:val="0"/>
          <w:numId w:val="3"/>
        </w:numPr>
        <w:spacing w:line="276" w:lineRule="auto"/>
        <w:ind w:left="714" w:hanging="357"/>
        <w:jc w:val="both"/>
        <w:rPr>
          <w:rFonts w:ascii="Verdana" w:hAnsi="Verdana" w:cs="Helvetica"/>
          <w:color w:val="000000"/>
          <w:sz w:val="22"/>
          <w:szCs w:val="22"/>
        </w:rPr>
      </w:pPr>
      <w:r w:rsidRPr="004439D0">
        <w:rPr>
          <w:rFonts w:ascii="Verdana" w:hAnsi="Verdana" w:cs="Helvetica"/>
          <w:color w:val="000000"/>
          <w:sz w:val="22"/>
          <w:szCs w:val="22"/>
        </w:rPr>
        <w:t>Facilitar la cultura de autocontrol y ejecución de los procesos, que permita identificar fácilmente la ocurrencia de posibles fallas o deficiencias que originen pérdida directa o indirecta a la Dirección.</w:t>
      </w:r>
    </w:p>
    <w:p w14:paraId="3062F2B4" w14:textId="77777777" w:rsidR="00D37E14" w:rsidRPr="004439D0" w:rsidRDefault="00D37E14" w:rsidP="00F51EBB">
      <w:pPr>
        <w:pStyle w:val="Prrafodelista"/>
        <w:numPr>
          <w:ilvl w:val="0"/>
          <w:numId w:val="3"/>
        </w:numPr>
        <w:spacing w:before="100" w:beforeAutospacing="1" w:line="276" w:lineRule="auto"/>
        <w:ind w:left="714" w:hanging="357"/>
        <w:jc w:val="both"/>
        <w:rPr>
          <w:rFonts w:ascii="Verdana" w:hAnsi="Verdana" w:cs="Helvetica"/>
          <w:color w:val="000000"/>
          <w:sz w:val="22"/>
          <w:szCs w:val="22"/>
        </w:rPr>
      </w:pPr>
      <w:r w:rsidRPr="004439D0">
        <w:rPr>
          <w:rFonts w:ascii="Verdana" w:hAnsi="Verdana" w:cs="Helvetica"/>
          <w:color w:val="000000"/>
          <w:sz w:val="22"/>
          <w:szCs w:val="22"/>
        </w:rPr>
        <w:t>Consolidar una cultura de riesgo en pro de optimizar los procesos y reducir la exposición a los riesgos.</w:t>
      </w:r>
    </w:p>
    <w:p w14:paraId="00EA7307" w14:textId="74D55C47" w:rsidR="00386147" w:rsidRPr="004439D0" w:rsidRDefault="00386147" w:rsidP="00992EC7">
      <w:pPr>
        <w:jc w:val="both"/>
        <w:rPr>
          <w:rFonts w:ascii="Verdana" w:hAnsi="Verdana" w:cs="Helvetica"/>
          <w:i/>
          <w:color w:val="C00000"/>
          <w:sz w:val="22"/>
          <w:szCs w:val="22"/>
        </w:rPr>
      </w:pPr>
    </w:p>
    <w:p w14:paraId="384203C8" w14:textId="5797F063" w:rsidR="00F51EBB" w:rsidRPr="004439D0" w:rsidRDefault="00F51EBB" w:rsidP="00992EC7">
      <w:pPr>
        <w:jc w:val="both"/>
        <w:rPr>
          <w:rFonts w:ascii="Verdana" w:hAnsi="Verdana" w:cs="Helvetica"/>
          <w:i/>
          <w:color w:val="C00000"/>
          <w:sz w:val="22"/>
          <w:szCs w:val="22"/>
        </w:rPr>
      </w:pPr>
    </w:p>
    <w:p w14:paraId="0267453E" w14:textId="77777777" w:rsidR="00386147" w:rsidRPr="004439D0" w:rsidRDefault="00386147" w:rsidP="00FC7D4F">
      <w:pPr>
        <w:pStyle w:val="Ttulo1"/>
        <w:numPr>
          <w:ilvl w:val="0"/>
          <w:numId w:val="23"/>
        </w:numPr>
        <w:jc w:val="both"/>
        <w:rPr>
          <w:rFonts w:ascii="Verdana" w:hAnsi="Verdana" w:cs="Helvetica"/>
          <w:sz w:val="22"/>
          <w:szCs w:val="22"/>
        </w:rPr>
      </w:pPr>
      <w:bookmarkStart w:id="10" w:name="_Toc155883036"/>
      <w:r w:rsidRPr="004439D0">
        <w:rPr>
          <w:rFonts w:ascii="Verdana" w:hAnsi="Verdana" w:cs="Helvetica"/>
          <w:sz w:val="22"/>
          <w:szCs w:val="22"/>
        </w:rPr>
        <w:t>TÉRMINOS Y DEFINICIONES</w:t>
      </w:r>
      <w:bookmarkEnd w:id="10"/>
    </w:p>
    <w:p w14:paraId="4ED81631" w14:textId="77777777" w:rsidR="00386147" w:rsidRPr="004439D0" w:rsidRDefault="00386147" w:rsidP="00992EC7">
      <w:pPr>
        <w:jc w:val="both"/>
        <w:rPr>
          <w:rFonts w:ascii="Verdana" w:hAnsi="Verdana" w:cs="Helvetica"/>
          <w:b/>
          <w:sz w:val="22"/>
          <w:szCs w:val="22"/>
        </w:rPr>
      </w:pPr>
    </w:p>
    <w:p w14:paraId="452FA429" w14:textId="77777777" w:rsidR="00D37E14" w:rsidRPr="004439D0" w:rsidRDefault="00D37E14" w:rsidP="00992EC7">
      <w:pPr>
        <w:pStyle w:val="Default"/>
        <w:spacing w:line="276" w:lineRule="auto"/>
        <w:jc w:val="both"/>
        <w:rPr>
          <w:rFonts w:ascii="Verdana" w:hAnsi="Verdana" w:cs="Helvetica"/>
          <w:sz w:val="22"/>
          <w:szCs w:val="22"/>
        </w:rPr>
      </w:pPr>
    </w:p>
    <w:p w14:paraId="4FB995FE" w14:textId="469A6B06" w:rsidR="00D37E14" w:rsidRPr="004439D0" w:rsidRDefault="00D37E14" w:rsidP="00FC7D4F">
      <w:pPr>
        <w:pStyle w:val="Estilo1"/>
        <w:numPr>
          <w:ilvl w:val="1"/>
          <w:numId w:val="23"/>
        </w:numPr>
        <w:rPr>
          <w:rFonts w:ascii="Verdana" w:hAnsi="Verdana"/>
        </w:rPr>
      </w:pPr>
      <w:bookmarkStart w:id="11" w:name="_Toc4590613"/>
      <w:bookmarkStart w:id="12" w:name="_Toc155883037"/>
      <w:r w:rsidRPr="004439D0">
        <w:rPr>
          <w:rFonts w:ascii="Verdana" w:hAnsi="Verdana"/>
        </w:rPr>
        <w:t>Riesgo Operativo</w:t>
      </w:r>
      <w:bookmarkEnd w:id="11"/>
      <w:bookmarkEnd w:id="12"/>
    </w:p>
    <w:p w14:paraId="1DBC1262" w14:textId="77777777" w:rsidR="00D37E14" w:rsidRPr="004439D0" w:rsidRDefault="00D37E14" w:rsidP="00992EC7">
      <w:pPr>
        <w:pStyle w:val="Default"/>
        <w:spacing w:line="276" w:lineRule="auto"/>
        <w:jc w:val="both"/>
        <w:rPr>
          <w:rFonts w:ascii="Verdana" w:hAnsi="Verdana" w:cs="Helvetica"/>
          <w:sz w:val="22"/>
          <w:szCs w:val="22"/>
        </w:rPr>
      </w:pPr>
    </w:p>
    <w:p w14:paraId="5319FCA9" w14:textId="77777777" w:rsidR="00D37E14" w:rsidRPr="004439D0" w:rsidRDefault="00D37E14" w:rsidP="00992EC7">
      <w:pPr>
        <w:pStyle w:val="Default"/>
        <w:spacing w:line="276" w:lineRule="auto"/>
        <w:jc w:val="both"/>
        <w:rPr>
          <w:rFonts w:ascii="Verdana" w:hAnsi="Verdana" w:cs="Helvetica"/>
          <w:sz w:val="22"/>
          <w:szCs w:val="22"/>
        </w:rPr>
      </w:pPr>
      <w:r w:rsidRPr="004439D0">
        <w:rPr>
          <w:rFonts w:ascii="Verdana" w:hAnsi="Verdana" w:cs="Helvetica"/>
          <w:sz w:val="22"/>
          <w:szCs w:val="22"/>
        </w:rPr>
        <w:t>De acuerdo con la CE 041 de 2007 expedida por la Superintendencia Financiera de Colombia, se entiende como el riesgo operativo, como la posibilidad de incurrir en pérdidas por deficiencias, fallas o inadecuaciones, en el recurso humano, los procesos, la tecnología, la infraestructura o por la ocurrencia de acontecimientos externos.  Esta definición incluye el riesgo legal y reputacional, asociados a tales factores.</w:t>
      </w:r>
      <w:r w:rsidRPr="004439D0">
        <w:rPr>
          <w:rStyle w:val="Refdenotaalpie"/>
          <w:rFonts w:ascii="Verdana" w:hAnsi="Verdana" w:cs="Helvetica"/>
          <w:sz w:val="22"/>
          <w:szCs w:val="22"/>
        </w:rPr>
        <w:footnoteReference w:id="2"/>
      </w:r>
      <w:r w:rsidRPr="004439D0">
        <w:rPr>
          <w:rFonts w:ascii="Verdana" w:hAnsi="Verdana" w:cs="Helvetica"/>
          <w:sz w:val="22"/>
          <w:szCs w:val="22"/>
        </w:rPr>
        <w:t xml:space="preserve">.  </w:t>
      </w:r>
    </w:p>
    <w:p w14:paraId="26FECF0A" w14:textId="77777777" w:rsidR="00D37E14" w:rsidRPr="004439D0" w:rsidRDefault="00D37E14" w:rsidP="00992EC7">
      <w:pPr>
        <w:pStyle w:val="Default"/>
        <w:spacing w:line="276" w:lineRule="auto"/>
        <w:jc w:val="both"/>
        <w:rPr>
          <w:rFonts w:ascii="Verdana" w:hAnsi="Verdana" w:cs="Helvetica"/>
          <w:sz w:val="22"/>
          <w:szCs w:val="22"/>
        </w:rPr>
      </w:pPr>
    </w:p>
    <w:p w14:paraId="18597ED6" w14:textId="77777777" w:rsidR="00D37E14" w:rsidRPr="004439D0" w:rsidRDefault="00D37E14" w:rsidP="00992EC7">
      <w:pPr>
        <w:pStyle w:val="Default"/>
        <w:spacing w:line="276" w:lineRule="auto"/>
        <w:jc w:val="both"/>
        <w:rPr>
          <w:rFonts w:ascii="Verdana" w:hAnsi="Verdana" w:cs="Helvetica"/>
          <w:sz w:val="22"/>
          <w:szCs w:val="22"/>
        </w:rPr>
      </w:pPr>
      <w:r w:rsidRPr="004439D0">
        <w:rPr>
          <w:rFonts w:ascii="Verdana" w:hAnsi="Verdana" w:cs="Helvetica"/>
          <w:sz w:val="22"/>
          <w:szCs w:val="22"/>
        </w:rPr>
        <w:t xml:space="preserve">El riesgo operativo existe de alguna forma en cada una de las actividades y procesos de la Dirección, y puede resultar en pérdidas económicas, detrimento patrimonial, o daños a la reputación de la entidad. </w:t>
      </w:r>
    </w:p>
    <w:p w14:paraId="3C63A72B" w14:textId="77777777" w:rsidR="00D37E14" w:rsidRPr="004439D0" w:rsidRDefault="00D37E14" w:rsidP="00992EC7">
      <w:pPr>
        <w:pStyle w:val="Default"/>
        <w:spacing w:line="276" w:lineRule="auto"/>
        <w:jc w:val="both"/>
        <w:rPr>
          <w:rFonts w:ascii="Verdana" w:hAnsi="Verdana" w:cs="Helvetica"/>
          <w:sz w:val="22"/>
          <w:szCs w:val="22"/>
        </w:rPr>
      </w:pPr>
    </w:p>
    <w:p w14:paraId="5610E4C7" w14:textId="21D1E222" w:rsidR="00D37E14" w:rsidRPr="004439D0" w:rsidRDefault="00D37E14" w:rsidP="00A6330A">
      <w:pPr>
        <w:rPr>
          <w:rFonts w:ascii="Verdana" w:hAnsi="Verdana"/>
        </w:rPr>
      </w:pPr>
    </w:p>
    <w:p w14:paraId="61257D0F" w14:textId="77777777" w:rsidR="00D37E14" w:rsidRPr="004439D0" w:rsidRDefault="00D37E14" w:rsidP="00FC7D4F">
      <w:pPr>
        <w:pStyle w:val="Ttulo3"/>
        <w:numPr>
          <w:ilvl w:val="1"/>
          <w:numId w:val="23"/>
        </w:numPr>
        <w:jc w:val="both"/>
        <w:rPr>
          <w:rFonts w:ascii="Verdana" w:hAnsi="Verdana" w:cs="Helvetica"/>
          <w:sz w:val="22"/>
          <w:szCs w:val="22"/>
        </w:rPr>
      </w:pPr>
      <w:bookmarkStart w:id="13" w:name="_Toc507771235"/>
      <w:bookmarkStart w:id="14" w:name="_Toc4590614"/>
      <w:bookmarkStart w:id="15" w:name="_Toc155883038"/>
      <w:r w:rsidRPr="004439D0">
        <w:rPr>
          <w:rStyle w:val="Ttulo3Car"/>
          <w:rFonts w:ascii="Verdana" w:hAnsi="Verdana" w:cs="Helvetica"/>
          <w:b/>
          <w:sz w:val="22"/>
          <w:szCs w:val="22"/>
        </w:rPr>
        <w:t>Riesgo Legal</w:t>
      </w:r>
      <w:bookmarkEnd w:id="13"/>
      <w:bookmarkEnd w:id="14"/>
      <w:bookmarkEnd w:id="15"/>
    </w:p>
    <w:p w14:paraId="763B8F53" w14:textId="77777777" w:rsidR="00D37E14" w:rsidRPr="004439D0" w:rsidRDefault="00D37E14" w:rsidP="00992EC7">
      <w:pPr>
        <w:spacing w:line="276" w:lineRule="auto"/>
        <w:jc w:val="both"/>
        <w:rPr>
          <w:rFonts w:ascii="Verdana" w:hAnsi="Verdana" w:cs="Helvetica"/>
          <w:sz w:val="22"/>
          <w:szCs w:val="22"/>
        </w:rPr>
      </w:pPr>
    </w:p>
    <w:p w14:paraId="65F64C0D" w14:textId="77777777" w:rsidR="00D37E14" w:rsidRPr="004439D0" w:rsidRDefault="00D37E14" w:rsidP="00992EC7">
      <w:pPr>
        <w:pStyle w:val="Default"/>
        <w:spacing w:line="276" w:lineRule="auto"/>
        <w:jc w:val="both"/>
        <w:rPr>
          <w:rFonts w:ascii="Verdana" w:hAnsi="Verdana" w:cs="Helvetica"/>
          <w:sz w:val="22"/>
          <w:szCs w:val="22"/>
        </w:rPr>
      </w:pPr>
      <w:r w:rsidRPr="004439D0">
        <w:rPr>
          <w:rFonts w:ascii="Verdana" w:hAnsi="Verdana" w:cs="Helvetica"/>
          <w:sz w:val="22"/>
          <w:szCs w:val="22"/>
        </w:rPr>
        <w:t>Es la posibilidad de pérdida económica en que incurre una entidad al ser sancionada u obligada a indemnizar daños como resultado del incumplimiento de normas o regulaciones y obligaciones contractuales.</w:t>
      </w:r>
    </w:p>
    <w:p w14:paraId="34D073F4" w14:textId="77777777" w:rsidR="00D37E14" w:rsidRPr="004439D0" w:rsidRDefault="00D37E14" w:rsidP="00992EC7">
      <w:pPr>
        <w:pStyle w:val="Default"/>
        <w:spacing w:line="276" w:lineRule="auto"/>
        <w:jc w:val="both"/>
        <w:rPr>
          <w:rFonts w:ascii="Verdana" w:hAnsi="Verdana" w:cs="Helvetica"/>
          <w:sz w:val="22"/>
          <w:szCs w:val="22"/>
        </w:rPr>
      </w:pPr>
    </w:p>
    <w:p w14:paraId="3BFD1A54" w14:textId="77777777" w:rsidR="00D37E14" w:rsidRPr="004439D0" w:rsidRDefault="00D37E14" w:rsidP="00992EC7">
      <w:pPr>
        <w:pStyle w:val="Default"/>
        <w:spacing w:line="276" w:lineRule="auto"/>
        <w:jc w:val="both"/>
        <w:rPr>
          <w:rFonts w:ascii="Verdana" w:hAnsi="Verdana" w:cs="Helvetica"/>
          <w:sz w:val="22"/>
          <w:szCs w:val="22"/>
        </w:rPr>
      </w:pPr>
      <w:r w:rsidRPr="004439D0">
        <w:rPr>
          <w:rFonts w:ascii="Verdana" w:hAnsi="Verdana" w:cs="Helvetica"/>
          <w:sz w:val="22"/>
          <w:szCs w:val="22"/>
        </w:rPr>
        <w:t>El riesgo legal surge también como consecuencia de fallas en los contratos y transacciones, derivadas de actuaciones malintencionadas, negligencia o actos involuntarios que afectan la formalización o ejecución de contratos o transacciones.</w:t>
      </w:r>
    </w:p>
    <w:p w14:paraId="77E7D550" w14:textId="77777777" w:rsidR="00D37E14" w:rsidRPr="004439D0" w:rsidRDefault="00D37E14" w:rsidP="00992EC7">
      <w:pPr>
        <w:pStyle w:val="Default"/>
        <w:spacing w:line="276" w:lineRule="auto"/>
        <w:jc w:val="both"/>
        <w:rPr>
          <w:rFonts w:ascii="Verdana" w:hAnsi="Verdana" w:cs="Helvetica"/>
          <w:sz w:val="22"/>
          <w:szCs w:val="22"/>
        </w:rPr>
      </w:pPr>
    </w:p>
    <w:p w14:paraId="13EF653C" w14:textId="77777777" w:rsidR="00D37E14" w:rsidRPr="004439D0" w:rsidRDefault="00D37E14" w:rsidP="00FC7D4F">
      <w:pPr>
        <w:pStyle w:val="Ttulo3"/>
        <w:numPr>
          <w:ilvl w:val="1"/>
          <w:numId w:val="23"/>
        </w:numPr>
        <w:jc w:val="both"/>
        <w:rPr>
          <w:rFonts w:ascii="Verdana" w:hAnsi="Verdana" w:cs="Helvetica"/>
          <w:b/>
          <w:bCs/>
          <w:sz w:val="22"/>
          <w:szCs w:val="22"/>
        </w:rPr>
      </w:pPr>
      <w:bookmarkStart w:id="16" w:name="_Toc507771236"/>
      <w:bookmarkStart w:id="17" w:name="_Toc4590615"/>
      <w:bookmarkStart w:id="18" w:name="_Toc155883039"/>
      <w:r w:rsidRPr="004439D0">
        <w:rPr>
          <w:rFonts w:ascii="Verdana" w:hAnsi="Verdana" w:cs="Helvetica"/>
          <w:b/>
          <w:bCs/>
          <w:sz w:val="22"/>
          <w:szCs w:val="22"/>
        </w:rPr>
        <w:t>Riesgo Reputacional</w:t>
      </w:r>
      <w:bookmarkEnd w:id="16"/>
      <w:bookmarkEnd w:id="17"/>
      <w:bookmarkEnd w:id="18"/>
    </w:p>
    <w:p w14:paraId="620B7C59" w14:textId="77777777" w:rsidR="00D37E14" w:rsidRPr="004439D0" w:rsidRDefault="00D37E14" w:rsidP="00992EC7">
      <w:pPr>
        <w:jc w:val="both"/>
        <w:rPr>
          <w:rFonts w:ascii="Verdana" w:hAnsi="Verdana" w:cs="Helvetica"/>
          <w:sz w:val="22"/>
          <w:szCs w:val="22"/>
        </w:rPr>
      </w:pPr>
    </w:p>
    <w:p w14:paraId="6DAE3C18" w14:textId="77777777" w:rsidR="00D37E14" w:rsidRPr="004439D0" w:rsidRDefault="00D37E14" w:rsidP="00992EC7">
      <w:pPr>
        <w:pStyle w:val="Default"/>
        <w:spacing w:after="60" w:line="276" w:lineRule="auto"/>
        <w:jc w:val="both"/>
        <w:rPr>
          <w:rFonts w:ascii="Verdana" w:hAnsi="Verdana" w:cs="Helvetica"/>
          <w:sz w:val="22"/>
          <w:szCs w:val="22"/>
        </w:rPr>
      </w:pPr>
      <w:r w:rsidRPr="004439D0">
        <w:rPr>
          <w:rFonts w:ascii="Verdana" w:hAnsi="Verdana" w:cs="Helvetica"/>
          <w:sz w:val="22"/>
          <w:szCs w:val="22"/>
        </w:rPr>
        <w:t>Es la posibilidad de pérdida en que incurre una entidad por desprestigio, mala imagen, publicidad negativa, cierta o no,  respecto de la institución y sus prácticas de negocios</w:t>
      </w:r>
      <w:r w:rsidRPr="004439D0">
        <w:rPr>
          <w:rStyle w:val="Refdenotaalpie"/>
          <w:rFonts w:ascii="Verdana" w:hAnsi="Verdana" w:cs="Helvetica"/>
          <w:sz w:val="22"/>
          <w:szCs w:val="22"/>
        </w:rPr>
        <w:footnoteReference w:id="3"/>
      </w:r>
      <w:r w:rsidRPr="004439D0">
        <w:rPr>
          <w:rFonts w:ascii="Verdana" w:hAnsi="Verdana" w:cs="Helvetica"/>
          <w:sz w:val="22"/>
          <w:szCs w:val="22"/>
        </w:rPr>
        <w:t>.</w:t>
      </w:r>
    </w:p>
    <w:p w14:paraId="504455C9" w14:textId="77777777" w:rsidR="00D37E14" w:rsidRPr="004439D0" w:rsidRDefault="00D37E14" w:rsidP="00992EC7">
      <w:pPr>
        <w:spacing w:line="276" w:lineRule="auto"/>
        <w:jc w:val="both"/>
        <w:rPr>
          <w:rFonts w:ascii="Verdana" w:hAnsi="Verdana" w:cs="Helvetica"/>
          <w:b/>
          <w:bCs/>
          <w:sz w:val="22"/>
          <w:szCs w:val="22"/>
        </w:rPr>
      </w:pPr>
    </w:p>
    <w:p w14:paraId="689BDD9A" w14:textId="77777777" w:rsidR="00D37E14" w:rsidRPr="004439D0" w:rsidRDefault="00D37E14" w:rsidP="00FC7D4F">
      <w:pPr>
        <w:pStyle w:val="Ttulo3"/>
        <w:numPr>
          <w:ilvl w:val="1"/>
          <w:numId w:val="23"/>
        </w:numPr>
        <w:jc w:val="both"/>
        <w:rPr>
          <w:rFonts w:ascii="Verdana" w:hAnsi="Verdana" w:cs="Helvetica"/>
          <w:b/>
          <w:bCs/>
          <w:sz w:val="22"/>
          <w:szCs w:val="22"/>
        </w:rPr>
      </w:pPr>
      <w:bookmarkStart w:id="19" w:name="_Toc507771237"/>
      <w:bookmarkStart w:id="20" w:name="_Toc4590616"/>
      <w:bookmarkStart w:id="21" w:name="_Toc155883040"/>
      <w:r w:rsidRPr="004439D0">
        <w:rPr>
          <w:rFonts w:ascii="Verdana" w:hAnsi="Verdana" w:cs="Helvetica"/>
          <w:b/>
          <w:bCs/>
          <w:sz w:val="22"/>
          <w:szCs w:val="22"/>
        </w:rPr>
        <w:t>Definición de Factores de Riesgo</w:t>
      </w:r>
      <w:bookmarkEnd w:id="19"/>
      <w:bookmarkEnd w:id="20"/>
      <w:bookmarkEnd w:id="21"/>
    </w:p>
    <w:p w14:paraId="3E915821" w14:textId="77777777" w:rsidR="00D37E14" w:rsidRPr="004439D0" w:rsidRDefault="00D37E14" w:rsidP="00992EC7">
      <w:pPr>
        <w:spacing w:line="276" w:lineRule="auto"/>
        <w:jc w:val="both"/>
        <w:rPr>
          <w:rFonts w:ascii="Verdana" w:hAnsi="Verdana" w:cs="Helvetica"/>
          <w:sz w:val="22"/>
          <w:szCs w:val="22"/>
        </w:rPr>
      </w:pPr>
    </w:p>
    <w:p w14:paraId="68EEB524" w14:textId="77777777" w:rsidR="00D37E14" w:rsidRPr="004439D0" w:rsidRDefault="00D37E14"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Se entiende por factores de riesgo, las fuentes generadoras de eventos en las que se originan las pérdidas por riesgo operativo, estos factores se clasifican en Internos y Externos:</w:t>
      </w:r>
    </w:p>
    <w:p w14:paraId="28A80709" w14:textId="37D0E75D" w:rsidR="00D37E14" w:rsidRPr="004439D0" w:rsidRDefault="00D37E14" w:rsidP="00992EC7">
      <w:pPr>
        <w:spacing w:line="276" w:lineRule="auto"/>
        <w:jc w:val="both"/>
        <w:rPr>
          <w:rFonts w:ascii="Verdana" w:hAnsi="Verdana" w:cs="Helvetica"/>
          <w:color w:val="000000"/>
          <w:sz w:val="22"/>
          <w:szCs w:val="22"/>
        </w:rPr>
      </w:pPr>
    </w:p>
    <w:p w14:paraId="6448B5AC" w14:textId="77777777" w:rsidR="00F51EBB" w:rsidRPr="004439D0" w:rsidRDefault="00F51EBB" w:rsidP="00992EC7">
      <w:pPr>
        <w:spacing w:line="276" w:lineRule="auto"/>
        <w:jc w:val="both"/>
        <w:rPr>
          <w:rFonts w:ascii="Verdana" w:hAnsi="Verdana" w:cs="Helvetica"/>
          <w:color w:val="000000"/>
          <w:sz w:val="22"/>
          <w:szCs w:val="22"/>
        </w:rPr>
      </w:pPr>
    </w:p>
    <w:p w14:paraId="5122BFC2" w14:textId="77777777" w:rsidR="00D37E14" w:rsidRPr="004439D0" w:rsidRDefault="00D37E14" w:rsidP="00992EC7">
      <w:pPr>
        <w:spacing w:line="276" w:lineRule="auto"/>
        <w:jc w:val="both"/>
        <w:rPr>
          <w:rFonts w:ascii="Verdana" w:hAnsi="Verdana" w:cs="Helvetica"/>
          <w:b/>
          <w:color w:val="000000"/>
          <w:sz w:val="22"/>
          <w:szCs w:val="22"/>
          <w:u w:val="single"/>
        </w:rPr>
      </w:pPr>
      <w:r w:rsidRPr="004439D0">
        <w:rPr>
          <w:rFonts w:ascii="Verdana" w:hAnsi="Verdana" w:cs="Helvetica"/>
          <w:b/>
          <w:color w:val="000000"/>
          <w:sz w:val="22"/>
          <w:szCs w:val="22"/>
          <w:u w:val="single"/>
        </w:rPr>
        <w:t xml:space="preserve">Internos </w:t>
      </w:r>
    </w:p>
    <w:p w14:paraId="3D234700" w14:textId="77777777" w:rsidR="00D37E14" w:rsidRPr="004439D0" w:rsidRDefault="00D37E14" w:rsidP="00992EC7">
      <w:pPr>
        <w:spacing w:line="276" w:lineRule="auto"/>
        <w:jc w:val="both"/>
        <w:rPr>
          <w:rFonts w:ascii="Verdana" w:hAnsi="Verdana" w:cs="Helvetica"/>
          <w:color w:val="000000"/>
          <w:sz w:val="22"/>
          <w:szCs w:val="22"/>
          <w:u w:val="single"/>
        </w:rPr>
      </w:pPr>
    </w:p>
    <w:p w14:paraId="0D679675" w14:textId="77777777" w:rsidR="00D37E14" w:rsidRPr="004439D0" w:rsidRDefault="00D37E14" w:rsidP="00FC7D4F">
      <w:pPr>
        <w:pStyle w:val="Prrafodelista"/>
        <w:numPr>
          <w:ilvl w:val="0"/>
          <w:numId w:val="5"/>
        </w:numPr>
        <w:spacing w:line="276" w:lineRule="auto"/>
        <w:jc w:val="both"/>
        <w:rPr>
          <w:rFonts w:ascii="Verdana" w:hAnsi="Verdana" w:cs="Helvetica"/>
          <w:bCs/>
          <w:sz w:val="22"/>
          <w:szCs w:val="22"/>
        </w:rPr>
      </w:pPr>
      <w:r w:rsidRPr="004439D0">
        <w:rPr>
          <w:rFonts w:ascii="Verdana" w:hAnsi="Verdana" w:cs="Helvetica"/>
          <w:b/>
          <w:bCs/>
          <w:sz w:val="22"/>
          <w:szCs w:val="22"/>
        </w:rPr>
        <w:t>Recurso Humano</w:t>
      </w:r>
      <w:r w:rsidRPr="004439D0">
        <w:rPr>
          <w:rFonts w:ascii="Verdana" w:hAnsi="Verdana" w:cs="Helvetica"/>
          <w:bCs/>
          <w:sz w:val="22"/>
          <w:szCs w:val="22"/>
        </w:rPr>
        <w:t>: Corresponde al conjunto de personas vinculadas directa (basada en un contrato de trabajo en los términos de la legislación vigente) o indirectamente (aquellas personas que tienen con la entidad una relación jurídica de prestación de servicios diferente a aquella que se origina en un contrato de trabajo) con la ejecución de los procesos de la entidad.</w:t>
      </w:r>
    </w:p>
    <w:p w14:paraId="5A03B69B" w14:textId="77777777" w:rsidR="00D37E14" w:rsidRPr="004439D0" w:rsidRDefault="00D37E14" w:rsidP="00FC7D4F">
      <w:pPr>
        <w:pStyle w:val="Prrafodelista"/>
        <w:numPr>
          <w:ilvl w:val="0"/>
          <w:numId w:val="5"/>
        </w:numPr>
        <w:spacing w:line="276" w:lineRule="auto"/>
        <w:jc w:val="both"/>
        <w:rPr>
          <w:rFonts w:ascii="Verdana" w:hAnsi="Verdana" w:cs="Helvetica"/>
          <w:bCs/>
          <w:sz w:val="22"/>
          <w:szCs w:val="22"/>
        </w:rPr>
      </w:pPr>
      <w:r w:rsidRPr="004439D0">
        <w:rPr>
          <w:rFonts w:ascii="Verdana" w:hAnsi="Verdana" w:cs="Helvetica"/>
          <w:b/>
          <w:bCs/>
          <w:sz w:val="22"/>
          <w:szCs w:val="22"/>
        </w:rPr>
        <w:t>Procesos</w:t>
      </w:r>
      <w:r w:rsidRPr="004439D0">
        <w:rPr>
          <w:rFonts w:ascii="Verdana" w:hAnsi="Verdana" w:cs="Helvetica"/>
          <w:bCs/>
          <w:sz w:val="22"/>
          <w:szCs w:val="22"/>
        </w:rPr>
        <w:t xml:space="preserve">: Corresponden a la interrelación ordenada de actividades para la transformación de elementos de entrada en productos o servicios, y así satisfacer una necesidad. </w:t>
      </w:r>
    </w:p>
    <w:p w14:paraId="5B8149AC" w14:textId="77777777" w:rsidR="00D37E14" w:rsidRPr="004439D0" w:rsidRDefault="00D37E14" w:rsidP="00FC7D4F">
      <w:pPr>
        <w:pStyle w:val="Prrafodelista"/>
        <w:numPr>
          <w:ilvl w:val="0"/>
          <w:numId w:val="5"/>
        </w:numPr>
        <w:spacing w:line="276" w:lineRule="auto"/>
        <w:jc w:val="both"/>
        <w:rPr>
          <w:rFonts w:ascii="Verdana" w:hAnsi="Verdana" w:cs="Helvetica"/>
          <w:bCs/>
          <w:sz w:val="22"/>
          <w:szCs w:val="22"/>
        </w:rPr>
      </w:pPr>
      <w:r w:rsidRPr="004439D0">
        <w:rPr>
          <w:rFonts w:ascii="Verdana" w:hAnsi="Verdana" w:cs="Helvetica"/>
          <w:b/>
          <w:bCs/>
          <w:sz w:val="22"/>
          <w:szCs w:val="22"/>
        </w:rPr>
        <w:t>Tecnología</w:t>
      </w:r>
      <w:r w:rsidRPr="004439D0">
        <w:rPr>
          <w:rFonts w:ascii="Verdana" w:hAnsi="Verdana" w:cs="Helvetica"/>
          <w:bCs/>
          <w:sz w:val="22"/>
          <w:szCs w:val="22"/>
        </w:rPr>
        <w:t xml:space="preserve">: Comprende las herramientas empleadas (hardware, software y telecomunicaciones) para soportar los procesos de la Dirección. </w:t>
      </w:r>
    </w:p>
    <w:p w14:paraId="09F444DF" w14:textId="77777777" w:rsidR="00D37E14" w:rsidRPr="004439D0" w:rsidRDefault="00D37E14" w:rsidP="00FC7D4F">
      <w:pPr>
        <w:pStyle w:val="Prrafodelista"/>
        <w:numPr>
          <w:ilvl w:val="0"/>
          <w:numId w:val="5"/>
        </w:numPr>
        <w:spacing w:line="276" w:lineRule="auto"/>
        <w:jc w:val="both"/>
        <w:rPr>
          <w:rFonts w:ascii="Verdana" w:hAnsi="Verdana" w:cs="Helvetica"/>
          <w:bCs/>
          <w:sz w:val="22"/>
          <w:szCs w:val="22"/>
        </w:rPr>
      </w:pPr>
      <w:r w:rsidRPr="004439D0">
        <w:rPr>
          <w:rFonts w:ascii="Verdana" w:hAnsi="Verdana" w:cs="Helvetica"/>
          <w:b/>
          <w:bCs/>
          <w:sz w:val="22"/>
          <w:szCs w:val="22"/>
        </w:rPr>
        <w:t>Infraestructura</w:t>
      </w:r>
      <w:r w:rsidRPr="004439D0">
        <w:rPr>
          <w:rFonts w:ascii="Verdana" w:hAnsi="Verdana" w:cs="Helvetica"/>
          <w:bCs/>
          <w:sz w:val="22"/>
          <w:szCs w:val="22"/>
        </w:rPr>
        <w:t>: Es el conjunto de elementos de apoyo para el funcionamiento de una organización. Entre otros se incluyen: edificios, espacios de trabajo, almacenamiento y transporte.</w:t>
      </w:r>
    </w:p>
    <w:p w14:paraId="7B02DC60" w14:textId="2C5C9225" w:rsidR="00D37E14" w:rsidRPr="004439D0" w:rsidRDefault="00D37E14" w:rsidP="00992EC7">
      <w:pPr>
        <w:spacing w:line="276" w:lineRule="auto"/>
        <w:ind w:left="360"/>
        <w:jc w:val="both"/>
        <w:rPr>
          <w:rFonts w:ascii="Verdana" w:hAnsi="Verdana" w:cs="Helvetica"/>
          <w:bCs/>
          <w:sz w:val="22"/>
          <w:szCs w:val="22"/>
        </w:rPr>
      </w:pPr>
    </w:p>
    <w:p w14:paraId="765F6BAE" w14:textId="77777777" w:rsidR="006D0D5F" w:rsidRPr="004439D0" w:rsidRDefault="006D0D5F" w:rsidP="00992EC7">
      <w:pPr>
        <w:spacing w:line="276" w:lineRule="auto"/>
        <w:ind w:left="360"/>
        <w:jc w:val="both"/>
        <w:rPr>
          <w:rFonts w:ascii="Verdana" w:hAnsi="Verdana" w:cs="Helvetica"/>
          <w:bCs/>
          <w:sz w:val="22"/>
          <w:szCs w:val="22"/>
        </w:rPr>
      </w:pPr>
    </w:p>
    <w:p w14:paraId="37CD4603" w14:textId="77777777" w:rsidR="00D37E14" w:rsidRPr="004439D0" w:rsidRDefault="00D37E14" w:rsidP="00992EC7">
      <w:pPr>
        <w:spacing w:line="276" w:lineRule="auto"/>
        <w:jc w:val="both"/>
        <w:rPr>
          <w:rFonts w:ascii="Verdana" w:hAnsi="Verdana" w:cs="Helvetica"/>
          <w:b/>
          <w:bCs/>
          <w:sz w:val="22"/>
          <w:szCs w:val="22"/>
          <w:u w:val="single"/>
        </w:rPr>
      </w:pPr>
      <w:r w:rsidRPr="004439D0">
        <w:rPr>
          <w:rFonts w:ascii="Verdana" w:hAnsi="Verdana" w:cs="Helvetica"/>
          <w:b/>
          <w:bCs/>
          <w:sz w:val="22"/>
          <w:szCs w:val="22"/>
          <w:u w:val="single"/>
        </w:rPr>
        <w:t>Externos</w:t>
      </w:r>
    </w:p>
    <w:p w14:paraId="5903B3BC" w14:textId="77777777" w:rsidR="00D37E14" w:rsidRPr="004439D0" w:rsidRDefault="00D37E14" w:rsidP="00992EC7">
      <w:pPr>
        <w:spacing w:line="276" w:lineRule="auto"/>
        <w:jc w:val="both"/>
        <w:rPr>
          <w:rFonts w:ascii="Verdana" w:hAnsi="Verdana" w:cs="Helvetica"/>
          <w:bCs/>
          <w:sz w:val="22"/>
          <w:szCs w:val="22"/>
          <w:u w:val="single"/>
        </w:rPr>
      </w:pPr>
    </w:p>
    <w:p w14:paraId="7E131A8B" w14:textId="77777777" w:rsidR="00D37E14" w:rsidRPr="004439D0" w:rsidRDefault="00D37E14" w:rsidP="00FC7D4F">
      <w:pPr>
        <w:pStyle w:val="Prrafodelista"/>
        <w:numPr>
          <w:ilvl w:val="0"/>
          <w:numId w:val="6"/>
        </w:numPr>
        <w:spacing w:line="276" w:lineRule="auto"/>
        <w:jc w:val="both"/>
        <w:rPr>
          <w:rFonts w:ascii="Verdana" w:hAnsi="Verdana" w:cs="Helvetica"/>
          <w:bCs/>
          <w:sz w:val="22"/>
          <w:szCs w:val="22"/>
        </w:rPr>
      </w:pPr>
      <w:r w:rsidRPr="004439D0">
        <w:rPr>
          <w:rFonts w:ascii="Verdana" w:hAnsi="Verdana" w:cs="Helvetica"/>
          <w:b/>
          <w:bCs/>
          <w:sz w:val="22"/>
          <w:szCs w:val="22"/>
        </w:rPr>
        <w:t>Eventos externos</w:t>
      </w:r>
      <w:r w:rsidRPr="004439D0">
        <w:rPr>
          <w:rFonts w:ascii="Verdana" w:hAnsi="Verdana" w:cs="Helvetica"/>
          <w:bCs/>
          <w:sz w:val="22"/>
          <w:szCs w:val="22"/>
        </w:rPr>
        <w:t xml:space="preserve">: Corresponde a la ocurrencia de eventos externos asociados a la fuerza de la naturaleza u ocasionado por terceros, que escapan en cuanto a su causa y origen al control de la entidad como fallas operativas en los proveedores o en las operaciones de </w:t>
      </w:r>
      <w:r w:rsidRPr="004439D0">
        <w:rPr>
          <w:rFonts w:ascii="Verdana" w:hAnsi="Verdana" w:cs="Helvetica"/>
          <w:bCs/>
          <w:i/>
          <w:sz w:val="22"/>
          <w:szCs w:val="22"/>
        </w:rPr>
        <w:t>outsourcing</w:t>
      </w:r>
      <w:r w:rsidRPr="004439D0">
        <w:rPr>
          <w:rFonts w:ascii="Verdana" w:hAnsi="Verdana" w:cs="Helvetica"/>
          <w:bCs/>
          <w:sz w:val="22"/>
          <w:szCs w:val="22"/>
        </w:rPr>
        <w:t>, incendios o desastres naturales, terrorismo, vandalismo, hurto, robo.</w:t>
      </w:r>
    </w:p>
    <w:p w14:paraId="76CD7D4C" w14:textId="77777777" w:rsidR="00386147" w:rsidRPr="004439D0" w:rsidRDefault="00386147" w:rsidP="00992EC7">
      <w:pPr>
        <w:jc w:val="both"/>
        <w:rPr>
          <w:rFonts w:ascii="Verdana" w:hAnsi="Verdana" w:cs="Helvetica"/>
          <w:sz w:val="22"/>
          <w:szCs w:val="22"/>
        </w:rPr>
      </w:pPr>
    </w:p>
    <w:p w14:paraId="444CCF6F" w14:textId="77777777" w:rsidR="0094407F" w:rsidRPr="004439D0" w:rsidRDefault="0094407F" w:rsidP="00992EC7">
      <w:pPr>
        <w:jc w:val="both"/>
        <w:rPr>
          <w:rFonts w:ascii="Verdana" w:hAnsi="Verdana" w:cs="Helvetica"/>
          <w:sz w:val="22"/>
          <w:szCs w:val="22"/>
        </w:rPr>
      </w:pPr>
    </w:p>
    <w:p w14:paraId="4BBEAB62" w14:textId="77777777" w:rsidR="0084542F" w:rsidRPr="004439D0" w:rsidRDefault="0084542F" w:rsidP="00FC7D4F">
      <w:pPr>
        <w:pStyle w:val="Ttulo2"/>
        <w:numPr>
          <w:ilvl w:val="0"/>
          <w:numId w:val="23"/>
        </w:numPr>
        <w:spacing w:line="276" w:lineRule="auto"/>
        <w:rPr>
          <w:rFonts w:ascii="Verdana" w:hAnsi="Verdana" w:cs="Helvetica"/>
          <w:sz w:val="22"/>
          <w:szCs w:val="22"/>
        </w:rPr>
      </w:pPr>
      <w:bookmarkStart w:id="22" w:name="_Toc4590617"/>
      <w:bookmarkStart w:id="23" w:name="_Toc155883041"/>
      <w:bookmarkStart w:id="24" w:name="_Toc126143692"/>
      <w:bookmarkStart w:id="25" w:name="_Toc126144694"/>
      <w:bookmarkStart w:id="26" w:name="_Toc126144876"/>
      <w:bookmarkStart w:id="27" w:name="_Toc126144946"/>
      <w:bookmarkStart w:id="28" w:name="_Toc126147376"/>
      <w:bookmarkStart w:id="29" w:name="_Toc126301042"/>
      <w:r w:rsidRPr="004439D0">
        <w:rPr>
          <w:rFonts w:ascii="Verdana" w:hAnsi="Verdana" w:cs="Helvetica"/>
          <w:sz w:val="22"/>
          <w:szCs w:val="22"/>
        </w:rPr>
        <w:t>Directrices Generales del SARO</w:t>
      </w:r>
      <w:bookmarkEnd w:id="22"/>
      <w:bookmarkEnd w:id="23"/>
    </w:p>
    <w:p w14:paraId="6CC1B58D" w14:textId="77777777" w:rsidR="0084542F" w:rsidRPr="004439D0" w:rsidRDefault="0084542F" w:rsidP="00992EC7">
      <w:pPr>
        <w:spacing w:line="276" w:lineRule="auto"/>
        <w:jc w:val="both"/>
        <w:rPr>
          <w:rFonts w:ascii="Verdana" w:hAnsi="Verdana" w:cs="Helvetica"/>
          <w:sz w:val="22"/>
          <w:szCs w:val="22"/>
        </w:rPr>
      </w:pPr>
    </w:p>
    <w:p w14:paraId="5E5ED217" w14:textId="62EF5F41"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color w:val="000000"/>
          <w:sz w:val="22"/>
          <w:szCs w:val="22"/>
        </w:rPr>
        <w:t xml:space="preserve">Las políticas y directrices de gestión de riesgo operativo son transversales a todos los procesos de la Dirección General de Crédito </w:t>
      </w:r>
      <w:r w:rsidR="00F51EBB" w:rsidRPr="004439D0">
        <w:rPr>
          <w:rFonts w:ascii="Verdana" w:hAnsi="Verdana" w:cs="Helvetica"/>
          <w:color w:val="000000"/>
          <w:sz w:val="22"/>
          <w:szCs w:val="22"/>
        </w:rPr>
        <w:t>Público</w:t>
      </w:r>
      <w:r w:rsidRPr="004439D0">
        <w:rPr>
          <w:rFonts w:ascii="Verdana" w:hAnsi="Verdana" w:cs="Helvetica"/>
          <w:color w:val="000000"/>
          <w:sz w:val="22"/>
          <w:szCs w:val="22"/>
        </w:rPr>
        <w:t xml:space="preserve"> y Tesoro Nacional, en búsqueda de las mejores prácticas que ha desarrollado el sector financiero en materia de gestión del riesgo operativo, las cuales le permiten a la Dirección identificar sus principales riesgos, evaluarlos, realizar planes de mitigación y retroalimentarlos periódicamente. </w:t>
      </w:r>
    </w:p>
    <w:p w14:paraId="76AE9D89" w14:textId="77777777" w:rsidR="0084542F" w:rsidRPr="004439D0" w:rsidRDefault="0084542F" w:rsidP="00992EC7">
      <w:pPr>
        <w:spacing w:line="276" w:lineRule="auto"/>
        <w:jc w:val="both"/>
        <w:rPr>
          <w:rFonts w:ascii="Verdana" w:hAnsi="Verdana" w:cs="Helvetica"/>
          <w:color w:val="000000"/>
          <w:sz w:val="22"/>
          <w:szCs w:val="22"/>
        </w:rPr>
      </w:pPr>
    </w:p>
    <w:p w14:paraId="23DE812A" w14:textId="77777777" w:rsidR="0084542F" w:rsidRPr="004439D0" w:rsidRDefault="0084542F" w:rsidP="00FC7D4F">
      <w:pPr>
        <w:pStyle w:val="Ttulo3"/>
        <w:numPr>
          <w:ilvl w:val="1"/>
          <w:numId w:val="23"/>
        </w:numPr>
        <w:jc w:val="both"/>
        <w:rPr>
          <w:rFonts w:ascii="Verdana" w:hAnsi="Verdana" w:cs="Helvetica"/>
          <w:b/>
          <w:bCs/>
          <w:sz w:val="22"/>
          <w:szCs w:val="22"/>
        </w:rPr>
      </w:pPr>
      <w:bookmarkStart w:id="30" w:name="_Toc507771240"/>
      <w:bookmarkStart w:id="31" w:name="_Toc4590618"/>
      <w:bookmarkStart w:id="32" w:name="_Toc155883042"/>
      <w:r w:rsidRPr="004439D0">
        <w:rPr>
          <w:rFonts w:ascii="Verdana" w:hAnsi="Verdana" w:cs="Helvetica"/>
          <w:b/>
          <w:bCs/>
          <w:sz w:val="22"/>
          <w:szCs w:val="22"/>
        </w:rPr>
        <w:t>Responsabilidades</w:t>
      </w:r>
      <w:bookmarkEnd w:id="30"/>
      <w:bookmarkEnd w:id="31"/>
      <w:bookmarkEnd w:id="32"/>
    </w:p>
    <w:p w14:paraId="2A0DED6B" w14:textId="77777777" w:rsidR="0084542F" w:rsidRPr="004439D0" w:rsidRDefault="0084542F" w:rsidP="00992EC7">
      <w:pPr>
        <w:spacing w:line="276" w:lineRule="auto"/>
        <w:jc w:val="both"/>
        <w:rPr>
          <w:rFonts w:ascii="Verdana" w:hAnsi="Verdana" w:cs="Helvetica"/>
          <w:color w:val="000000"/>
          <w:sz w:val="22"/>
          <w:szCs w:val="22"/>
        </w:rPr>
      </w:pPr>
    </w:p>
    <w:p w14:paraId="7359EE72" w14:textId="7FF7BB1C"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La responsabilidad del riesgo operativo es de todos los funcionarios, contratistas y pasantes de la Dirección General de Crédito </w:t>
      </w:r>
      <w:r w:rsidR="00F51EBB" w:rsidRPr="004439D0">
        <w:rPr>
          <w:rFonts w:ascii="Verdana" w:hAnsi="Verdana" w:cs="Helvetica"/>
          <w:color w:val="000000"/>
          <w:sz w:val="22"/>
          <w:szCs w:val="22"/>
        </w:rPr>
        <w:t>Público</w:t>
      </w:r>
      <w:r w:rsidRPr="004439D0">
        <w:rPr>
          <w:rFonts w:ascii="Verdana" w:hAnsi="Verdana" w:cs="Helvetica"/>
          <w:color w:val="000000"/>
          <w:sz w:val="22"/>
          <w:szCs w:val="22"/>
        </w:rPr>
        <w:t xml:space="preserve"> y Tesoro Nacional, en particular los dueños de los procesos deben velar porque se mitiguen los riesgos operativos que pueden originar pérdidas a la Nación.</w:t>
      </w:r>
    </w:p>
    <w:p w14:paraId="5C1D7DAE" w14:textId="77777777" w:rsidR="0084542F" w:rsidRPr="004439D0" w:rsidRDefault="0084542F" w:rsidP="00FC7D4F">
      <w:pPr>
        <w:pStyle w:val="Ttulo4"/>
        <w:numPr>
          <w:ilvl w:val="2"/>
          <w:numId w:val="23"/>
        </w:numPr>
        <w:jc w:val="both"/>
        <w:rPr>
          <w:rFonts w:ascii="Verdana" w:hAnsi="Verdana" w:cs="Helvetica"/>
          <w:sz w:val="22"/>
          <w:szCs w:val="22"/>
        </w:rPr>
      </w:pPr>
      <w:bookmarkStart w:id="33" w:name="_Toc507771241"/>
      <w:bookmarkStart w:id="34" w:name="_Toc4590619"/>
      <w:r w:rsidRPr="004439D0">
        <w:rPr>
          <w:rFonts w:ascii="Verdana" w:hAnsi="Verdana" w:cs="Helvetica"/>
          <w:sz w:val="22"/>
          <w:szCs w:val="22"/>
        </w:rPr>
        <w:t>Dirección General de Crédito Público y Tesoro Nacional</w:t>
      </w:r>
      <w:bookmarkEnd w:id="33"/>
      <w:bookmarkEnd w:id="34"/>
    </w:p>
    <w:p w14:paraId="726B5632" w14:textId="77777777" w:rsidR="0084542F" w:rsidRPr="004439D0" w:rsidRDefault="0084542F" w:rsidP="00992EC7">
      <w:pPr>
        <w:spacing w:line="276" w:lineRule="auto"/>
        <w:jc w:val="both"/>
        <w:rPr>
          <w:rFonts w:ascii="Verdana" w:hAnsi="Verdana" w:cs="Helvetica"/>
          <w:sz w:val="22"/>
          <w:szCs w:val="22"/>
        </w:rPr>
      </w:pPr>
    </w:p>
    <w:p w14:paraId="1AD6C22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Es la encargada de dictar las directrices y políticas en cuanto a la administración de riesgos. En lo que respecta el sistema SARO, debe realizar las siguientes funciones:</w:t>
      </w:r>
    </w:p>
    <w:p w14:paraId="3BE289DD"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 xml:space="preserve">Establecer las políticas relativas al SARO. </w:t>
      </w:r>
    </w:p>
    <w:p w14:paraId="7CCFB242"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 xml:space="preserve">Aprobar el Manual de Riesgo Operativo y sus actualizaciones. </w:t>
      </w:r>
    </w:p>
    <w:p w14:paraId="46F6790D"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Hacer seguimiento y pronunciarse sobre el perfil de riesgo operativo de la Dirección.</w:t>
      </w:r>
    </w:p>
    <w:p w14:paraId="788EB0ED"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Establecer las medidas relativas al perfil de riesgo operativo, teniendo en cuenta el nivel de tolerancia al riesgo de la Dirección.</w:t>
      </w:r>
    </w:p>
    <w:p w14:paraId="15265FB3"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Pronunciarse respecto de cada uno de los puntos que contengan los informes periódicos que presente la Subdirección de Riesgo.</w:t>
      </w:r>
    </w:p>
    <w:p w14:paraId="7C320335" w14:textId="77777777" w:rsidR="0084542F" w:rsidRPr="004439D0" w:rsidRDefault="0084542F" w:rsidP="00FC7D4F">
      <w:pPr>
        <w:numPr>
          <w:ilvl w:val="0"/>
          <w:numId w:val="12"/>
        </w:numPr>
        <w:tabs>
          <w:tab w:val="clear" w:pos="720"/>
          <w:tab w:val="num" w:pos="360"/>
        </w:tabs>
        <w:overflowPunct w:val="0"/>
        <w:autoSpaceDE w:val="0"/>
        <w:autoSpaceDN w:val="0"/>
        <w:adjustRightInd w:val="0"/>
        <w:spacing w:line="276" w:lineRule="auto"/>
        <w:ind w:left="360"/>
        <w:jc w:val="both"/>
        <w:textAlignment w:val="baseline"/>
        <w:rPr>
          <w:rFonts w:ascii="Verdana" w:hAnsi="Verdana" w:cs="Helvetica"/>
          <w:sz w:val="22"/>
          <w:szCs w:val="22"/>
        </w:rPr>
      </w:pPr>
      <w:r w:rsidRPr="004439D0">
        <w:rPr>
          <w:rFonts w:ascii="Verdana" w:hAnsi="Verdana" w:cs="Helvetica"/>
          <w:sz w:val="22"/>
          <w:szCs w:val="22"/>
        </w:rPr>
        <w:t>Proveer los recursos necesarios para implementar y mantener en funcionamiento, de forma efectiva y eficiente, el SARO.</w:t>
      </w:r>
      <w:r w:rsidRPr="004439D0">
        <w:rPr>
          <w:rFonts w:ascii="Verdana" w:hAnsi="Verdana" w:cs="Helvetica"/>
          <w:color w:val="000000"/>
          <w:sz w:val="22"/>
          <w:szCs w:val="22"/>
        </w:rPr>
        <w:t xml:space="preserve"> </w:t>
      </w:r>
    </w:p>
    <w:p w14:paraId="3746817E" w14:textId="77777777" w:rsidR="0084542F" w:rsidRPr="004439D0" w:rsidRDefault="0084542F" w:rsidP="00992EC7">
      <w:pPr>
        <w:spacing w:line="276" w:lineRule="auto"/>
        <w:jc w:val="both"/>
        <w:rPr>
          <w:rFonts w:ascii="Verdana" w:hAnsi="Verdana" w:cs="Helvetica"/>
          <w:sz w:val="22"/>
          <w:szCs w:val="22"/>
        </w:rPr>
      </w:pPr>
    </w:p>
    <w:p w14:paraId="5F6720CC" w14:textId="77777777" w:rsidR="0084542F" w:rsidRPr="004439D0" w:rsidRDefault="0084542F" w:rsidP="00FC7D4F">
      <w:pPr>
        <w:pStyle w:val="Ttulo4"/>
        <w:numPr>
          <w:ilvl w:val="2"/>
          <w:numId w:val="23"/>
        </w:numPr>
        <w:jc w:val="both"/>
        <w:rPr>
          <w:rFonts w:ascii="Verdana" w:hAnsi="Verdana" w:cs="Helvetica"/>
          <w:sz w:val="22"/>
          <w:szCs w:val="22"/>
        </w:rPr>
      </w:pPr>
      <w:bookmarkStart w:id="35" w:name="_Toc507771242"/>
      <w:bookmarkStart w:id="36" w:name="_Toc4590620"/>
      <w:r w:rsidRPr="004439D0">
        <w:rPr>
          <w:rFonts w:ascii="Verdana" w:hAnsi="Verdana" w:cs="Helvetica"/>
          <w:sz w:val="22"/>
          <w:szCs w:val="22"/>
        </w:rPr>
        <w:t>Subdirección de Riesgo</w:t>
      </w:r>
      <w:bookmarkEnd w:id="35"/>
      <w:bookmarkEnd w:id="36"/>
      <w:r w:rsidRPr="004439D0">
        <w:rPr>
          <w:rFonts w:ascii="Verdana" w:hAnsi="Verdana" w:cs="Helvetica"/>
          <w:sz w:val="22"/>
          <w:szCs w:val="22"/>
        </w:rPr>
        <w:tab/>
      </w:r>
    </w:p>
    <w:p w14:paraId="126229B3" w14:textId="77777777" w:rsidR="0084542F" w:rsidRPr="004439D0" w:rsidRDefault="0084542F" w:rsidP="00992EC7">
      <w:pPr>
        <w:spacing w:line="276" w:lineRule="auto"/>
        <w:jc w:val="both"/>
        <w:rPr>
          <w:rFonts w:ascii="Verdana" w:hAnsi="Verdana" w:cs="Helvetica"/>
          <w:color w:val="000000"/>
          <w:sz w:val="22"/>
          <w:szCs w:val="22"/>
        </w:rPr>
      </w:pPr>
    </w:p>
    <w:p w14:paraId="5AE6679B" w14:textId="1A15C929"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Esta área designada por la Dirección de Crédito </w:t>
      </w:r>
      <w:r w:rsidR="00F51EBB" w:rsidRPr="004439D0">
        <w:rPr>
          <w:rFonts w:ascii="Verdana" w:hAnsi="Verdana" w:cs="Helvetica"/>
          <w:color w:val="000000"/>
          <w:sz w:val="22"/>
          <w:szCs w:val="22"/>
        </w:rPr>
        <w:t>Público</w:t>
      </w:r>
      <w:r w:rsidRPr="004439D0">
        <w:rPr>
          <w:rFonts w:ascii="Verdana" w:hAnsi="Verdana" w:cs="Helvetica"/>
          <w:color w:val="000000"/>
          <w:sz w:val="22"/>
          <w:szCs w:val="22"/>
        </w:rPr>
        <w:t xml:space="preserve"> y Tesoro Nacional, tiene como objetivo administrar los riesgos operativos y apoyar a las áreas de la Dirección en la identificación, medición y control de los riesgos operativos. En este sentido, el área de Riesgos de la Dirección dentro del contexto de SARO tendrá a su cargo, como mínimo, las siguientes funciones:</w:t>
      </w:r>
    </w:p>
    <w:p w14:paraId="5AB1EF11" w14:textId="77777777" w:rsidR="00A6330A" w:rsidRPr="004439D0" w:rsidRDefault="00A6330A" w:rsidP="00992EC7">
      <w:pPr>
        <w:spacing w:line="276" w:lineRule="auto"/>
        <w:jc w:val="both"/>
        <w:rPr>
          <w:rFonts w:ascii="Verdana" w:hAnsi="Verdana" w:cs="Helvetica"/>
          <w:color w:val="000000"/>
          <w:sz w:val="22"/>
          <w:szCs w:val="22"/>
        </w:rPr>
      </w:pPr>
    </w:p>
    <w:p w14:paraId="54218C42"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Definir los instrumentos, metodologías y procedimientos tendientes a que la entidad administre efectivamente sus riesgos operativos. </w:t>
      </w:r>
    </w:p>
    <w:p w14:paraId="260EAFD9"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Desarrollar e implementar el sistema de reportes, internos y externos, del riesgo operativo de la Dirección.</w:t>
      </w:r>
    </w:p>
    <w:p w14:paraId="1C7CD294"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Administrar el registro de eventos de riesgo operativo.</w:t>
      </w:r>
    </w:p>
    <w:p w14:paraId="7BA73AD3"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Coordinar la recolección de la información para alimentar el registro de eventos de riesgo operativo.</w:t>
      </w:r>
    </w:p>
    <w:p w14:paraId="5988A04B"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Evaluar la efectividad de las medidas de control potenciales y ejecutadas para los riesgos operativos medidos.</w:t>
      </w:r>
    </w:p>
    <w:p w14:paraId="697A4FF6"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Establecer y monitorear el perfil de riesgo de la entidad e informarlo a la DGCPTN.</w:t>
      </w:r>
    </w:p>
    <w:p w14:paraId="145A6DBB"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Realizar el seguimiento permanente de los procedimientos y planes de acción relacionados con el SARO y proponer sus correspondientes actualizaciones y modificaciones.</w:t>
      </w:r>
    </w:p>
    <w:p w14:paraId="6C305ED8"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Desarrollar los modelos de medición del riesgo operativo. </w:t>
      </w:r>
    </w:p>
    <w:p w14:paraId="16B3825A"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Desarrollar los programas de capacitación de la Dirección relacionados con el SARO.</w:t>
      </w:r>
    </w:p>
    <w:p w14:paraId="7F9C7029"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Capacitar a los gestores de riesgo de cada una de las áreas.</w:t>
      </w:r>
    </w:p>
    <w:p w14:paraId="2F87E150" w14:textId="77777777"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Realizar seguimiento a las medidas adoptadas para mitigar el riesgo inherente, con el propósito de evaluar su efectividad. </w:t>
      </w:r>
    </w:p>
    <w:p w14:paraId="0ADB7CD4" w14:textId="2DD62780" w:rsidR="0084542F" w:rsidRPr="004439D0" w:rsidRDefault="0084542F" w:rsidP="00FC7D4F">
      <w:pPr>
        <w:pStyle w:val="Prrafodelista"/>
        <w:numPr>
          <w:ilvl w:val="0"/>
          <w:numId w:val="13"/>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Reportar semestralmente a la DGCPTN la evolución del riesgo, los controles implementados y el monitoreo que se realice sobre el mismo.</w:t>
      </w:r>
    </w:p>
    <w:p w14:paraId="21507E6D" w14:textId="1389E8B0" w:rsidR="0084542F" w:rsidRPr="004439D0" w:rsidRDefault="0084542F" w:rsidP="00FC7D4F">
      <w:pPr>
        <w:pStyle w:val="Ttulo4"/>
        <w:numPr>
          <w:ilvl w:val="2"/>
          <w:numId w:val="23"/>
        </w:numPr>
        <w:rPr>
          <w:rFonts w:ascii="Verdana" w:hAnsi="Verdana" w:cs="Helvetica"/>
          <w:sz w:val="22"/>
          <w:szCs w:val="16"/>
        </w:rPr>
      </w:pPr>
      <w:bookmarkStart w:id="37" w:name="_Toc507771243"/>
      <w:bookmarkStart w:id="38" w:name="_Toc4590621"/>
      <w:r w:rsidRPr="004439D0">
        <w:rPr>
          <w:rFonts w:ascii="Verdana" w:hAnsi="Verdana" w:cs="Helvetica"/>
          <w:sz w:val="22"/>
          <w:szCs w:val="16"/>
        </w:rPr>
        <w:t>Gestores de riesgo</w:t>
      </w:r>
      <w:bookmarkEnd w:id="37"/>
      <w:bookmarkEnd w:id="38"/>
      <w:r w:rsidRPr="004439D0">
        <w:rPr>
          <w:rFonts w:ascii="Verdana" w:hAnsi="Verdana" w:cs="Helvetica"/>
          <w:sz w:val="22"/>
          <w:szCs w:val="16"/>
        </w:rPr>
        <w:tab/>
      </w:r>
    </w:p>
    <w:p w14:paraId="280ED1EC" w14:textId="77777777" w:rsidR="0084542F" w:rsidRPr="004439D0" w:rsidRDefault="0084542F" w:rsidP="00992EC7">
      <w:pPr>
        <w:spacing w:line="276" w:lineRule="auto"/>
        <w:jc w:val="both"/>
        <w:rPr>
          <w:rFonts w:ascii="Verdana" w:hAnsi="Verdana" w:cs="Helvetica"/>
          <w:color w:val="000000"/>
          <w:sz w:val="22"/>
          <w:szCs w:val="22"/>
        </w:rPr>
      </w:pPr>
    </w:p>
    <w:p w14:paraId="5B9818A9" w14:textId="38342488"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El gestor de riesgo es el funcionario designado por cada Subdirector para ser el enlace entre el área y la Subdirección de Riesgo, tiene como objetivo acompañar a los funcionarios en la identificación de los riesgos y diligenciar los formatos diseñados por la Subdirección de Riesgo, de igual forma comunicará a su respectivo Subdirector los riesgos identificados para su aprobación. En este sentido, el Gestor de Riesgos dentro del contexto de SARO tendrá a su cargo, como mínimo, las siguientes funciones:</w:t>
      </w:r>
    </w:p>
    <w:p w14:paraId="436A3DC9" w14:textId="77777777" w:rsidR="00A6330A" w:rsidRPr="004439D0" w:rsidRDefault="00A6330A" w:rsidP="00992EC7">
      <w:pPr>
        <w:spacing w:line="276" w:lineRule="auto"/>
        <w:jc w:val="both"/>
        <w:rPr>
          <w:rFonts w:ascii="Verdana" w:hAnsi="Verdana" w:cs="Helvetica"/>
          <w:color w:val="000000"/>
          <w:sz w:val="22"/>
          <w:szCs w:val="22"/>
        </w:rPr>
      </w:pPr>
    </w:p>
    <w:p w14:paraId="74F6E1A2" w14:textId="77777777"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Asistir a las capacitaciones que defina la Subdirección de Riesgos para divulgar la metodología y procedimientos para la gestión de riesgo operativo. </w:t>
      </w:r>
    </w:p>
    <w:p w14:paraId="3E3B06AD" w14:textId="77777777"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Retroalimentar a su jefe y compañeros de área, la información suministrada en las capacitaciones a las que asista.</w:t>
      </w:r>
    </w:p>
    <w:p w14:paraId="797BFA61" w14:textId="77777777"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Apoyar a los funcionarios de su Subdirección en el diligenciamiento del formato de identificación de riesgo y del formato de revelación de riesgo.</w:t>
      </w:r>
    </w:p>
    <w:p w14:paraId="24414BC8" w14:textId="77777777"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Coordinar la recolección de la información para alimentar el registro de eventos de riesgo operativo.</w:t>
      </w:r>
    </w:p>
    <w:p w14:paraId="78050AE6" w14:textId="77777777"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Informar al Subdirector de su área los planes de acción y controles propuestos para mitigar los riesgos.</w:t>
      </w:r>
    </w:p>
    <w:p w14:paraId="74801230" w14:textId="5F21C7C8" w:rsidR="0084542F" w:rsidRPr="004439D0" w:rsidRDefault="0084542F" w:rsidP="00FC7D4F">
      <w:pPr>
        <w:pStyle w:val="Prrafodelista"/>
        <w:numPr>
          <w:ilvl w:val="0"/>
          <w:numId w:val="17"/>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Comunicar a la Subdirección de Riesgo los cambios en los riesgos operativos de su área, y apoyar en la profundización de la cultura de riesgo operativo en su área.</w:t>
      </w:r>
    </w:p>
    <w:p w14:paraId="7046A65C" w14:textId="74C0EB70" w:rsidR="0084542F" w:rsidRPr="004439D0" w:rsidRDefault="0084542F" w:rsidP="00FC7D4F">
      <w:pPr>
        <w:pStyle w:val="Ttulo3"/>
        <w:numPr>
          <w:ilvl w:val="1"/>
          <w:numId w:val="17"/>
        </w:numPr>
        <w:jc w:val="both"/>
        <w:rPr>
          <w:rFonts w:ascii="Verdana" w:hAnsi="Verdana" w:cs="Helvetica"/>
          <w:b/>
          <w:bCs/>
          <w:sz w:val="22"/>
          <w:szCs w:val="22"/>
        </w:rPr>
      </w:pPr>
      <w:bookmarkStart w:id="39" w:name="_Toc507771244"/>
      <w:bookmarkStart w:id="40" w:name="_Toc4590622"/>
      <w:bookmarkStart w:id="41" w:name="_Toc155883043"/>
      <w:r w:rsidRPr="004439D0">
        <w:rPr>
          <w:rFonts w:ascii="Verdana" w:hAnsi="Verdana" w:cs="Helvetica"/>
          <w:b/>
          <w:bCs/>
          <w:sz w:val="22"/>
          <w:szCs w:val="22"/>
        </w:rPr>
        <w:t>Reunión Técnica de Administración de Riesgos</w:t>
      </w:r>
      <w:bookmarkEnd w:id="39"/>
      <w:bookmarkEnd w:id="40"/>
      <w:bookmarkEnd w:id="41"/>
      <w:r w:rsidRPr="004439D0">
        <w:rPr>
          <w:rFonts w:ascii="Verdana" w:hAnsi="Verdana" w:cs="Helvetica"/>
          <w:b/>
          <w:bCs/>
          <w:sz w:val="22"/>
          <w:szCs w:val="22"/>
        </w:rPr>
        <w:tab/>
      </w:r>
    </w:p>
    <w:p w14:paraId="6168F90D" w14:textId="77777777" w:rsidR="0084542F" w:rsidRPr="004439D0" w:rsidRDefault="0084542F" w:rsidP="00992EC7">
      <w:pPr>
        <w:spacing w:line="276" w:lineRule="auto"/>
        <w:jc w:val="both"/>
        <w:rPr>
          <w:rFonts w:ascii="Verdana" w:hAnsi="Verdana" w:cs="Helvetica"/>
          <w:color w:val="000000"/>
          <w:sz w:val="22"/>
          <w:szCs w:val="22"/>
        </w:rPr>
      </w:pPr>
    </w:p>
    <w:p w14:paraId="13275BA4" w14:textId="5332FD76"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Con el fin de hacer seguimiento y control de los riesgos asociados a las actividades realizadas en la DGCPTN, se establece la Reunión Técnica de Administración de Riesgos la cual debe tener una periodicida</w:t>
      </w:r>
      <w:r w:rsidR="007850D3" w:rsidRPr="004439D0">
        <w:rPr>
          <w:rFonts w:ascii="Verdana" w:hAnsi="Verdana" w:cs="Helvetica"/>
          <w:color w:val="000000"/>
          <w:sz w:val="22"/>
          <w:szCs w:val="22"/>
        </w:rPr>
        <w:t xml:space="preserve">d </w:t>
      </w:r>
      <w:r w:rsidRPr="004439D0">
        <w:rPr>
          <w:rFonts w:ascii="Verdana" w:hAnsi="Verdana" w:cs="Helvetica"/>
          <w:color w:val="000000"/>
          <w:sz w:val="22"/>
          <w:szCs w:val="22"/>
        </w:rPr>
        <w:t xml:space="preserve">semestral, pero pueden ser citadas reuniones extraordinarias si las situaciones o eventos de riesgo lo requieren. </w:t>
      </w:r>
    </w:p>
    <w:p w14:paraId="67F355FA" w14:textId="77777777" w:rsidR="0084542F" w:rsidRPr="004439D0" w:rsidRDefault="0084542F" w:rsidP="00992EC7">
      <w:pPr>
        <w:spacing w:line="276" w:lineRule="auto"/>
        <w:jc w:val="both"/>
        <w:rPr>
          <w:rFonts w:ascii="Verdana" w:hAnsi="Verdana" w:cs="Helvetica"/>
          <w:color w:val="000000"/>
          <w:sz w:val="22"/>
          <w:szCs w:val="22"/>
        </w:rPr>
      </w:pPr>
    </w:p>
    <w:p w14:paraId="7D3648E2" w14:textId="077C591D"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El área responsable de esta reunión será la Subdirección de Riesgo, quien se encargará de citar y coordinar lo relacionado con la agenda y la logística de cada reunión, para lo cual se dejará como memoria el documento objeto de análisis del día.</w:t>
      </w:r>
    </w:p>
    <w:p w14:paraId="48735E3D" w14:textId="77777777" w:rsidR="00084554" w:rsidRPr="004439D0" w:rsidRDefault="00084554" w:rsidP="00992EC7">
      <w:pPr>
        <w:spacing w:line="276" w:lineRule="auto"/>
        <w:jc w:val="both"/>
        <w:rPr>
          <w:rFonts w:ascii="Verdana" w:hAnsi="Verdana" w:cs="Helvetica"/>
          <w:color w:val="000000"/>
          <w:sz w:val="22"/>
          <w:szCs w:val="22"/>
        </w:rPr>
      </w:pPr>
    </w:p>
    <w:p w14:paraId="0B6689AD" w14:textId="726C5EB9"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En esta reunión se presentará el perfil de riesgo inherente y residual de la DGCPTN, un resumen de los eventos de riesgo presentados durante el periodo y el seguimiento a los planes de acción de mitigación del riesgo operativo.</w:t>
      </w:r>
    </w:p>
    <w:p w14:paraId="77BC5AC1" w14:textId="09B798EE" w:rsidR="0084542F" w:rsidRPr="004439D0" w:rsidRDefault="0084542F" w:rsidP="00FC7D4F">
      <w:pPr>
        <w:pStyle w:val="Ttulo4"/>
        <w:numPr>
          <w:ilvl w:val="2"/>
          <w:numId w:val="17"/>
        </w:numPr>
        <w:jc w:val="both"/>
        <w:rPr>
          <w:rFonts w:ascii="Verdana" w:hAnsi="Verdana" w:cs="Helvetica"/>
          <w:sz w:val="22"/>
          <w:szCs w:val="22"/>
        </w:rPr>
      </w:pPr>
      <w:bookmarkStart w:id="42" w:name="_Toc507771246"/>
      <w:bookmarkStart w:id="43" w:name="_Toc4590623"/>
      <w:r w:rsidRPr="004439D0">
        <w:rPr>
          <w:rFonts w:ascii="Verdana" w:hAnsi="Verdana" w:cs="Helvetica"/>
          <w:sz w:val="22"/>
          <w:szCs w:val="22"/>
        </w:rPr>
        <w:t>Integrantes</w:t>
      </w:r>
      <w:bookmarkEnd w:id="42"/>
      <w:bookmarkEnd w:id="43"/>
    </w:p>
    <w:p w14:paraId="0FF2A510" w14:textId="77777777" w:rsidR="0084542F" w:rsidRPr="004439D0" w:rsidRDefault="0084542F" w:rsidP="00992EC7">
      <w:pPr>
        <w:spacing w:line="276" w:lineRule="auto"/>
        <w:jc w:val="both"/>
        <w:rPr>
          <w:rFonts w:ascii="Verdana" w:hAnsi="Verdana" w:cs="Helvetica"/>
          <w:color w:val="000000"/>
          <w:sz w:val="22"/>
          <w:szCs w:val="22"/>
        </w:rPr>
      </w:pPr>
    </w:p>
    <w:p w14:paraId="6AB30F88"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La Reunión estará conformada por los siguientes cargos:</w:t>
      </w:r>
    </w:p>
    <w:p w14:paraId="7267C180" w14:textId="77777777" w:rsidR="0084542F" w:rsidRPr="004439D0" w:rsidRDefault="0084542F" w:rsidP="00992EC7">
      <w:pPr>
        <w:spacing w:line="276" w:lineRule="auto"/>
        <w:jc w:val="both"/>
        <w:rPr>
          <w:rFonts w:ascii="Verdana" w:hAnsi="Verdana" w:cs="Helvetica"/>
          <w:color w:val="000000"/>
          <w:sz w:val="22"/>
          <w:szCs w:val="22"/>
        </w:rPr>
      </w:pPr>
    </w:p>
    <w:p w14:paraId="1177375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Director de Crédito Público y Tesoro Nacional, quien la presidirá</w:t>
      </w:r>
    </w:p>
    <w:p w14:paraId="25922D51"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 xml:space="preserve">Subdirector de Riesgo </w:t>
      </w:r>
    </w:p>
    <w:p w14:paraId="73E13ECF"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Tesorería</w:t>
      </w:r>
    </w:p>
    <w:p w14:paraId="233388D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operaciones</w:t>
      </w:r>
    </w:p>
    <w:p w14:paraId="0B160491"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financiamiento interno</w:t>
      </w:r>
    </w:p>
    <w:p w14:paraId="66B9DB5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financiamiento externo</w:t>
      </w:r>
    </w:p>
    <w:p w14:paraId="03202F9D"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operaciones</w:t>
      </w:r>
      <w:r w:rsidRPr="004439D0">
        <w:rPr>
          <w:rFonts w:ascii="Verdana" w:hAnsi="Verdana" w:cs="Helvetica"/>
          <w:sz w:val="22"/>
          <w:szCs w:val="22"/>
        </w:rPr>
        <w:t xml:space="preserve"> </w:t>
      </w:r>
    </w:p>
    <w:p w14:paraId="04CF447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Financiamiento con Organismos Multilaterales y Gobiernos</w:t>
      </w:r>
    </w:p>
    <w:p w14:paraId="1E819BEA"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Asociaciones Publico Privadas</w:t>
      </w:r>
    </w:p>
    <w:p w14:paraId="6D4729F3" w14:textId="77777777" w:rsidR="0084542F" w:rsidRPr="004439D0" w:rsidRDefault="0084542F" w:rsidP="00992EC7">
      <w:pPr>
        <w:spacing w:line="276" w:lineRule="auto"/>
        <w:ind w:left="705" w:hanging="705"/>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Subdirector de Financiamiento de Otras Entidades, Seguimiento, Saneamiento de Cartera</w:t>
      </w:r>
    </w:p>
    <w:p w14:paraId="5E214AF2" w14:textId="77777777" w:rsidR="0084542F" w:rsidRPr="004439D0" w:rsidRDefault="0084542F" w:rsidP="00992EC7">
      <w:pPr>
        <w:spacing w:line="276" w:lineRule="auto"/>
        <w:ind w:left="705" w:hanging="705"/>
        <w:jc w:val="both"/>
        <w:rPr>
          <w:rFonts w:ascii="Verdana" w:hAnsi="Verdana" w:cs="Helvetica"/>
          <w:color w:val="000000"/>
          <w:sz w:val="22"/>
          <w:szCs w:val="22"/>
        </w:rPr>
      </w:pPr>
    </w:p>
    <w:p w14:paraId="3E450B4B" w14:textId="62F339E8"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Podrán asistir como invitados, funcionarios o particulares que puedan hacer aportes en los asuntos tratados en la Reunión Técnica de Administración de Riesgos.</w:t>
      </w:r>
    </w:p>
    <w:p w14:paraId="28016F85" w14:textId="77777777" w:rsidR="00B756F0" w:rsidRPr="004439D0" w:rsidRDefault="00B756F0" w:rsidP="00992EC7">
      <w:pPr>
        <w:spacing w:line="276" w:lineRule="auto"/>
        <w:jc w:val="both"/>
        <w:rPr>
          <w:rFonts w:ascii="Verdana" w:hAnsi="Verdana" w:cs="Helvetica"/>
          <w:color w:val="000000"/>
          <w:sz w:val="22"/>
          <w:szCs w:val="22"/>
        </w:rPr>
      </w:pPr>
    </w:p>
    <w:p w14:paraId="79CF0CDE" w14:textId="0BBC6C17" w:rsidR="0084542F" w:rsidRPr="004439D0" w:rsidRDefault="0084542F" w:rsidP="00FC7D4F">
      <w:pPr>
        <w:pStyle w:val="Ttulo4"/>
        <w:numPr>
          <w:ilvl w:val="2"/>
          <w:numId w:val="17"/>
        </w:numPr>
        <w:jc w:val="both"/>
        <w:rPr>
          <w:rFonts w:ascii="Verdana" w:hAnsi="Verdana" w:cs="Helvetica"/>
          <w:sz w:val="22"/>
          <w:szCs w:val="22"/>
        </w:rPr>
      </w:pPr>
      <w:bookmarkStart w:id="44" w:name="_Toc507771247"/>
      <w:bookmarkStart w:id="45" w:name="_Toc4590624"/>
      <w:r w:rsidRPr="004439D0">
        <w:rPr>
          <w:rFonts w:ascii="Verdana" w:hAnsi="Verdana" w:cs="Helvetica"/>
          <w:sz w:val="22"/>
          <w:szCs w:val="22"/>
        </w:rPr>
        <w:t>Funciones</w:t>
      </w:r>
      <w:bookmarkEnd w:id="44"/>
      <w:bookmarkEnd w:id="45"/>
    </w:p>
    <w:p w14:paraId="172D8B93" w14:textId="77777777" w:rsidR="0084542F" w:rsidRPr="004439D0" w:rsidRDefault="0084542F" w:rsidP="00992EC7">
      <w:pPr>
        <w:spacing w:line="276" w:lineRule="auto"/>
        <w:jc w:val="both"/>
        <w:rPr>
          <w:rFonts w:ascii="Verdana" w:hAnsi="Verdana" w:cs="Helvetica"/>
          <w:color w:val="000000"/>
          <w:sz w:val="22"/>
          <w:szCs w:val="22"/>
        </w:rPr>
      </w:pPr>
    </w:p>
    <w:p w14:paraId="495041AC"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Entre las funciones asignadas a esta Reunión, se destacan las siguientes:</w:t>
      </w:r>
    </w:p>
    <w:p w14:paraId="26F430F6" w14:textId="77777777" w:rsidR="0084542F" w:rsidRPr="004439D0" w:rsidRDefault="0084542F" w:rsidP="00992EC7">
      <w:pPr>
        <w:spacing w:line="276" w:lineRule="auto"/>
        <w:jc w:val="both"/>
        <w:rPr>
          <w:rFonts w:ascii="Verdana" w:hAnsi="Verdana" w:cs="Helvetica"/>
          <w:color w:val="000000"/>
          <w:sz w:val="22"/>
          <w:szCs w:val="22"/>
        </w:rPr>
      </w:pPr>
    </w:p>
    <w:p w14:paraId="0107202B"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Servir como instancia de apoyo para la adecuada administración del riesgo de mercado, liquidez, emisor y contraparte, operativo, jurídico y demás que se consideren relevantes en relación con las actividades que realice la Dirección General de Crédito Público y Tesoro Nacional.</w:t>
      </w:r>
    </w:p>
    <w:p w14:paraId="0969BA16"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Evaluar y dar concepto al Manual de riesgo Operativo, así como los cambios que requiera para la posterior aprobación (de la) Director(a) General de Crédito Público y Tesoro Nacional.</w:t>
      </w:r>
    </w:p>
    <w:p w14:paraId="381494C4"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Evaluar propuestas de nuevos límites o modificación de los aprobados y documentados en el Manual de Riesgo Operativo.</w:t>
      </w:r>
    </w:p>
    <w:p w14:paraId="089C0015"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Aprobar las metodologías de valoración y de medición de riesgo que debe elaborar la Subdirección de Riesgo. Así mismo, deberá aprobar los procedimientos y mecanismos de seguimiento al riesgo operativo que proponga dicha Subdirección.</w:t>
      </w:r>
    </w:p>
    <w:p w14:paraId="63BBCB64"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Analizar los resultados en materia de niveles de riesgo presentados por la Subdirección de Riesgo y proponer cursos de acción y estrategias relevantes para su mitigación y/o adecuada gestión.</w:t>
      </w:r>
    </w:p>
    <w:p w14:paraId="3676AA26"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Analizar las propuestas sobre incursión en nuevos mercados, instrumentos, procedimientos o negocios en los cuales la Dirección de Crédito Público y Tesoro Nacional se encuentre interesada en participar con el objeto de formular las recomendaciones que se consideren pertinentes a el(la) Director(a) General de Crédito Público y Tesoro Nacional.</w:t>
      </w:r>
    </w:p>
    <w:p w14:paraId="016A4016" w14:textId="77777777"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Analizar cualquier sobrepaso a los límites establecidos y determinar el tratamiento que se les debe dar al mismo.</w:t>
      </w:r>
    </w:p>
    <w:p w14:paraId="64293C05" w14:textId="780B8139" w:rsidR="0084542F" w:rsidRPr="004439D0" w:rsidRDefault="0084542F" w:rsidP="00FC7D4F">
      <w:pPr>
        <w:pStyle w:val="Prrafodelista"/>
        <w:numPr>
          <w:ilvl w:val="0"/>
          <w:numId w:val="15"/>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Las demás que considere la Reunión Técnica de Administración de Riesgos.</w:t>
      </w:r>
    </w:p>
    <w:p w14:paraId="6C696B94" w14:textId="77777777" w:rsidR="007850D3" w:rsidRPr="004439D0" w:rsidRDefault="007850D3" w:rsidP="007850D3">
      <w:pPr>
        <w:pStyle w:val="Prrafodelista"/>
        <w:spacing w:after="200" w:line="276" w:lineRule="auto"/>
        <w:ind w:left="720"/>
        <w:contextualSpacing/>
        <w:jc w:val="both"/>
        <w:rPr>
          <w:rFonts w:ascii="Verdana" w:hAnsi="Verdana" w:cs="Helvetica"/>
          <w:color w:val="000000"/>
          <w:sz w:val="22"/>
          <w:szCs w:val="22"/>
        </w:rPr>
      </w:pPr>
    </w:p>
    <w:p w14:paraId="1CF07638" w14:textId="77777777" w:rsidR="0084542F" w:rsidRPr="004439D0" w:rsidRDefault="0084542F" w:rsidP="00FC7D4F">
      <w:pPr>
        <w:pStyle w:val="Ttulo2"/>
        <w:numPr>
          <w:ilvl w:val="0"/>
          <w:numId w:val="17"/>
        </w:numPr>
        <w:ind w:left="360"/>
        <w:rPr>
          <w:rFonts w:ascii="Verdana" w:hAnsi="Verdana" w:cs="Helvetica"/>
          <w:sz w:val="22"/>
          <w:szCs w:val="22"/>
        </w:rPr>
      </w:pPr>
      <w:bookmarkStart w:id="46" w:name="_Toc507771248"/>
      <w:bookmarkStart w:id="47" w:name="_Toc4590625"/>
      <w:bookmarkStart w:id="48" w:name="_Toc155883044"/>
      <w:r w:rsidRPr="004439D0">
        <w:rPr>
          <w:rFonts w:ascii="Verdana" w:hAnsi="Verdana" w:cs="Helvetica"/>
          <w:sz w:val="22"/>
          <w:szCs w:val="22"/>
        </w:rPr>
        <w:t>Políticas de Administración de Riesgo Operativo</w:t>
      </w:r>
      <w:bookmarkEnd w:id="46"/>
      <w:bookmarkEnd w:id="47"/>
      <w:bookmarkEnd w:id="48"/>
    </w:p>
    <w:p w14:paraId="4FF3FE96" w14:textId="77777777" w:rsidR="0084542F" w:rsidRPr="004439D0" w:rsidRDefault="0084542F" w:rsidP="00992EC7">
      <w:pPr>
        <w:spacing w:line="276" w:lineRule="auto"/>
        <w:jc w:val="both"/>
        <w:rPr>
          <w:rFonts w:ascii="Verdana" w:hAnsi="Verdana" w:cs="Helvetica"/>
          <w:color w:val="000000"/>
          <w:sz w:val="22"/>
          <w:szCs w:val="22"/>
        </w:rPr>
      </w:pPr>
    </w:p>
    <w:p w14:paraId="5E7A9BD4" w14:textId="68C1631A"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Para la DGCPTN, los principales lineamientos para mitigar los riesgos operativos a los que se encuentra expuesta son: </w:t>
      </w:r>
    </w:p>
    <w:p w14:paraId="5E03BCE0" w14:textId="77777777" w:rsidR="00310615" w:rsidRPr="004439D0" w:rsidRDefault="00310615" w:rsidP="00992EC7">
      <w:pPr>
        <w:spacing w:line="276" w:lineRule="auto"/>
        <w:jc w:val="both"/>
        <w:rPr>
          <w:rFonts w:ascii="Verdana" w:hAnsi="Verdana" w:cs="Helvetica"/>
          <w:color w:val="000000"/>
          <w:sz w:val="22"/>
          <w:szCs w:val="22"/>
        </w:rPr>
      </w:pPr>
    </w:p>
    <w:p w14:paraId="20B8FDF7"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Realizar como mínimo una capacitación anual de asistencia obligatoria para todos los funcionarios de la DGCPTN liderada por la Subdirección de Riesgo. </w:t>
      </w:r>
    </w:p>
    <w:p w14:paraId="73F3C06C"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Realizar una capacitación semestral de asistencia obligatoria para los gestores de riesgo de cada área.</w:t>
      </w:r>
    </w:p>
    <w:p w14:paraId="6929EB50"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dueños de los procesos deben establecer y documentar los procesos, procedimientos e instructivos en cada una de las áreas. Se deben segregar las funciones con el fin de prevenir los posibles conflictos de interés o duplicidad de actividades.</w:t>
      </w:r>
    </w:p>
    <w:p w14:paraId="0835547A"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Identificar, documentar, y actualizar junto con los gestores de riesgo de cada una de las áreas, los riesgos de cada uno de los procesos y la descripción de los controles aplicados a los mismos, en los mapas de riesgo.</w:t>
      </w:r>
    </w:p>
    <w:p w14:paraId="00F67BD4"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Estructurar un plan de continuidad de negocio, y efectuarle pruebas de funcionamiento anuales.</w:t>
      </w:r>
    </w:p>
    <w:p w14:paraId="0AF92DA4"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Contar con personal calificado para el desarrollo de las actividades, siguiendo las directrices del MHCP.</w:t>
      </w:r>
    </w:p>
    <w:p w14:paraId="145893D8"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Garantizar las herramientas para la adecuada administración de riesgo operativo. </w:t>
      </w:r>
    </w:p>
    <w:p w14:paraId="252C8B57" w14:textId="77777777" w:rsidR="0084542F" w:rsidRPr="004439D0" w:rsidRDefault="0084542F" w:rsidP="00FC7D4F">
      <w:pPr>
        <w:pStyle w:val="Prrafodelista"/>
        <w:numPr>
          <w:ilvl w:val="0"/>
          <w:numId w:val="16"/>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Fomentar una cultura de riesgo operativo, partiendo de las capacitaciones y la intervención de los gestores al interior de cada una de las áreas.</w:t>
      </w:r>
    </w:p>
    <w:p w14:paraId="38EA5DD6" w14:textId="5F0F64DE"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Todos los funcionarios de la DGCPTN tienen el deber de:</w:t>
      </w:r>
    </w:p>
    <w:p w14:paraId="121EB90B" w14:textId="77777777" w:rsidR="0084542F" w:rsidRPr="004439D0" w:rsidRDefault="0084542F" w:rsidP="00992EC7">
      <w:pPr>
        <w:spacing w:line="276" w:lineRule="auto"/>
        <w:jc w:val="both"/>
        <w:rPr>
          <w:rFonts w:ascii="Verdana" w:hAnsi="Verdana" w:cs="Helvetica"/>
          <w:color w:val="000000"/>
          <w:sz w:val="22"/>
          <w:szCs w:val="22"/>
        </w:rPr>
      </w:pPr>
    </w:p>
    <w:p w14:paraId="3FAD9225" w14:textId="77777777" w:rsidR="0084542F" w:rsidRPr="004439D0" w:rsidRDefault="0084542F" w:rsidP="00FC7D4F">
      <w:pPr>
        <w:pStyle w:val="Prrafodelista"/>
        <w:numPr>
          <w:ilvl w:val="0"/>
          <w:numId w:val="19"/>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Reportar los eventos de riesgo operativo que tengan conocimiento.</w:t>
      </w:r>
    </w:p>
    <w:p w14:paraId="00CC634C" w14:textId="77777777" w:rsidR="0084542F" w:rsidRPr="004439D0" w:rsidRDefault="0084542F" w:rsidP="00FC7D4F">
      <w:pPr>
        <w:pStyle w:val="Prrafodelista"/>
        <w:numPr>
          <w:ilvl w:val="0"/>
          <w:numId w:val="19"/>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Conocer los riesgos operativos y controles definidos, en el desarrollo de sus funciones.</w:t>
      </w:r>
    </w:p>
    <w:p w14:paraId="3C0A0385" w14:textId="77777777" w:rsidR="0084542F" w:rsidRPr="004439D0" w:rsidRDefault="0084542F" w:rsidP="00FC7D4F">
      <w:pPr>
        <w:pStyle w:val="Prrafodelista"/>
        <w:numPr>
          <w:ilvl w:val="0"/>
          <w:numId w:val="19"/>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Cumplir con las disposiciones aprobadas en los planes de acción para mitigar los riesgos operativos.</w:t>
      </w:r>
    </w:p>
    <w:p w14:paraId="6735E5E6" w14:textId="77777777" w:rsidR="0084542F" w:rsidRPr="004439D0" w:rsidRDefault="0084542F" w:rsidP="00FC7D4F">
      <w:pPr>
        <w:pStyle w:val="Prrafodelista"/>
        <w:numPr>
          <w:ilvl w:val="0"/>
          <w:numId w:val="19"/>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Asistir a las capacitaciones de riesgo operativo que programe la Subdirección de Riesgo.</w:t>
      </w:r>
    </w:p>
    <w:p w14:paraId="323251A7" w14:textId="726E525A"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Adicional a lo anterior, la DGCPTN cuenta con el Sistema Único de Gestión (SUG) que permite identificar claramente los procedimientos y las funciones del personal, por área y su responsabilidad en la organización.</w:t>
      </w:r>
    </w:p>
    <w:p w14:paraId="0D5A331F" w14:textId="77777777" w:rsidR="00310615" w:rsidRPr="004439D0" w:rsidRDefault="00310615" w:rsidP="00992EC7">
      <w:pPr>
        <w:spacing w:line="276" w:lineRule="auto"/>
        <w:jc w:val="both"/>
        <w:rPr>
          <w:rFonts w:ascii="Verdana" w:hAnsi="Verdana" w:cs="Helvetica"/>
          <w:color w:val="000000"/>
          <w:sz w:val="22"/>
          <w:szCs w:val="22"/>
        </w:rPr>
      </w:pPr>
    </w:p>
    <w:p w14:paraId="16403C97" w14:textId="56B7FA63" w:rsidR="0084542F" w:rsidRPr="004439D0" w:rsidRDefault="0084542F" w:rsidP="00FC7D4F">
      <w:pPr>
        <w:pStyle w:val="Ttulo3"/>
        <w:numPr>
          <w:ilvl w:val="1"/>
          <w:numId w:val="24"/>
        </w:numPr>
        <w:jc w:val="both"/>
        <w:rPr>
          <w:rFonts w:ascii="Verdana" w:hAnsi="Verdana" w:cs="Helvetica"/>
          <w:b/>
          <w:bCs/>
          <w:sz w:val="22"/>
          <w:szCs w:val="22"/>
        </w:rPr>
      </w:pPr>
      <w:bookmarkStart w:id="49" w:name="_Toc507771249"/>
      <w:bookmarkStart w:id="50" w:name="_Toc4590626"/>
      <w:bookmarkStart w:id="51" w:name="_Toc155883045"/>
      <w:r w:rsidRPr="004439D0">
        <w:rPr>
          <w:rFonts w:ascii="Verdana" w:hAnsi="Verdana" w:cs="Helvetica"/>
          <w:b/>
          <w:bCs/>
          <w:sz w:val="22"/>
          <w:szCs w:val="22"/>
        </w:rPr>
        <w:t>Perfil de Riesgo</w:t>
      </w:r>
      <w:bookmarkEnd w:id="49"/>
      <w:bookmarkEnd w:id="50"/>
      <w:bookmarkEnd w:id="51"/>
    </w:p>
    <w:p w14:paraId="39612A13" w14:textId="77777777" w:rsidR="0084542F" w:rsidRPr="004439D0" w:rsidRDefault="0084542F" w:rsidP="00992EC7">
      <w:pPr>
        <w:spacing w:line="276" w:lineRule="auto"/>
        <w:jc w:val="both"/>
        <w:rPr>
          <w:rFonts w:ascii="Verdana" w:hAnsi="Verdana" w:cs="Helvetica"/>
          <w:color w:val="000000"/>
          <w:sz w:val="22"/>
          <w:szCs w:val="22"/>
        </w:rPr>
      </w:pPr>
    </w:p>
    <w:p w14:paraId="5F97DDBD" w14:textId="77777777" w:rsidR="0084542F" w:rsidRPr="004439D0" w:rsidRDefault="0084542F" w:rsidP="00992EC7">
      <w:pPr>
        <w:spacing w:line="276" w:lineRule="auto"/>
        <w:jc w:val="both"/>
        <w:rPr>
          <w:rFonts w:ascii="Verdana" w:eastAsiaTheme="majorEastAsia" w:hAnsi="Verdana" w:cs="Helvetica"/>
          <w:b/>
          <w:bCs/>
          <w:color w:val="4472C4" w:themeColor="accent1"/>
          <w:sz w:val="22"/>
          <w:szCs w:val="22"/>
        </w:rPr>
      </w:pPr>
      <w:r w:rsidRPr="004439D0">
        <w:rPr>
          <w:rFonts w:ascii="Verdana" w:hAnsi="Verdana" w:cs="Helvetica"/>
          <w:color w:val="000000"/>
          <w:sz w:val="22"/>
          <w:szCs w:val="22"/>
        </w:rPr>
        <w:t>El nivel de riesgo operativo permitido para la DGCPTN es el perfil moderado que corresponde a riesgos de ocurrencia no muy frecuente, aunque probable; para los cuales existen adecuados controles y planes de contingencia.</w:t>
      </w:r>
    </w:p>
    <w:p w14:paraId="230DB233" w14:textId="77777777" w:rsidR="00310615" w:rsidRPr="004439D0" w:rsidRDefault="00310615" w:rsidP="00310615">
      <w:pPr>
        <w:rPr>
          <w:rFonts w:ascii="Verdana" w:hAnsi="Verdana"/>
        </w:rPr>
      </w:pPr>
      <w:bookmarkStart w:id="52" w:name="_Toc507771250"/>
    </w:p>
    <w:p w14:paraId="2524FF9F" w14:textId="77777777" w:rsidR="0084542F" w:rsidRPr="004439D0" w:rsidRDefault="0084542F" w:rsidP="00FC7D4F">
      <w:pPr>
        <w:pStyle w:val="Ttulo3"/>
        <w:numPr>
          <w:ilvl w:val="1"/>
          <w:numId w:val="24"/>
        </w:numPr>
        <w:jc w:val="both"/>
        <w:rPr>
          <w:rFonts w:ascii="Verdana" w:hAnsi="Verdana" w:cs="Helvetica"/>
          <w:b/>
          <w:bCs/>
          <w:sz w:val="22"/>
          <w:szCs w:val="22"/>
        </w:rPr>
      </w:pPr>
      <w:bookmarkStart w:id="53" w:name="_Toc4590627"/>
      <w:bookmarkStart w:id="54" w:name="_Toc155883046"/>
      <w:r w:rsidRPr="004439D0">
        <w:rPr>
          <w:rFonts w:ascii="Verdana" w:hAnsi="Verdana" w:cs="Helvetica"/>
          <w:b/>
          <w:bCs/>
          <w:sz w:val="22"/>
          <w:szCs w:val="22"/>
        </w:rPr>
        <w:t>Estructura Organizacional del SARO</w:t>
      </w:r>
      <w:bookmarkEnd w:id="52"/>
      <w:bookmarkEnd w:id="53"/>
      <w:bookmarkEnd w:id="54"/>
    </w:p>
    <w:p w14:paraId="176F4511" w14:textId="77777777" w:rsidR="0084542F" w:rsidRPr="004439D0" w:rsidRDefault="0084542F" w:rsidP="00992EC7">
      <w:pPr>
        <w:spacing w:line="276" w:lineRule="auto"/>
        <w:jc w:val="both"/>
        <w:rPr>
          <w:rFonts w:ascii="Verdana" w:hAnsi="Verdana" w:cs="Helvetica"/>
          <w:color w:val="000000"/>
          <w:sz w:val="22"/>
          <w:szCs w:val="22"/>
        </w:rPr>
      </w:pPr>
    </w:p>
    <w:p w14:paraId="22B94989"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La gestión de riesgo operativo es transversal a todas las Subdirecciones de la DGCPTN, por ende, todos los subdirectores apoyados con la Subdirección de Riesgo administrarán los riesgos de cada uno de sus procesos y procedimientos definidos en el SUG.</w:t>
      </w:r>
    </w:p>
    <w:p w14:paraId="3946D4A0" w14:textId="3E4510A8"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Los principales agentes u organismos identificados en la gestión del riesgo operativo son: 1. Reunión de Administración de Riesgos, 2. El Director General de Crédito Público y Tesoro Nacional, 3. Subdirecciones de la DGCPTN, 4. La Subdirección de Riesgo, y 5. Los gestores de riesgo de cada una de las áreas. El siguiente esquema resume las relaciones de autoridad y control de estos organismos.</w:t>
      </w:r>
    </w:p>
    <w:p w14:paraId="7A9CE002" w14:textId="77777777" w:rsidR="009E36A7" w:rsidRPr="004439D0" w:rsidRDefault="009E36A7" w:rsidP="00992EC7">
      <w:pPr>
        <w:spacing w:line="276" w:lineRule="auto"/>
        <w:jc w:val="both"/>
        <w:rPr>
          <w:rFonts w:ascii="Verdana" w:hAnsi="Verdana" w:cs="Helvetica"/>
          <w:color w:val="000000"/>
          <w:sz w:val="22"/>
          <w:szCs w:val="22"/>
        </w:rPr>
      </w:pPr>
    </w:p>
    <w:p w14:paraId="5F218399" w14:textId="70683A1B"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69504" behindDoc="0" locked="0" layoutInCell="1" allowOverlap="1" wp14:anchorId="7C3C2D4F" wp14:editId="2BA3257D">
                <wp:simplePos x="0" y="0"/>
                <wp:positionH relativeFrom="column">
                  <wp:posOffset>3808730</wp:posOffset>
                </wp:positionH>
                <wp:positionV relativeFrom="paragraph">
                  <wp:posOffset>111760</wp:posOffset>
                </wp:positionV>
                <wp:extent cx="1390650" cy="532130"/>
                <wp:effectExtent l="0" t="0" r="19050" b="2032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2130"/>
                        </a:xfrm>
                        <a:prstGeom prst="rect">
                          <a:avLst/>
                        </a:prstGeom>
                        <a:solidFill>
                          <a:srgbClr val="FFFFFF"/>
                        </a:solidFill>
                        <a:ln w="9525">
                          <a:solidFill>
                            <a:srgbClr val="000000"/>
                          </a:solidFill>
                          <a:miter lim="800000"/>
                          <a:headEnd/>
                          <a:tailEnd/>
                        </a:ln>
                      </wps:spPr>
                      <wps:txbx>
                        <w:txbxContent>
                          <w:p w14:paraId="0D91A048" w14:textId="77777777" w:rsidR="0084542F" w:rsidRPr="00310615" w:rsidRDefault="0084542F" w:rsidP="0084542F">
                            <w:pPr>
                              <w:jc w:val="center"/>
                              <w:rPr>
                                <w:rFonts w:ascii="Helvetica" w:hAnsi="Helvetica" w:cs="Helvetica"/>
                                <w:sz w:val="22"/>
                                <w:szCs w:val="22"/>
                              </w:rPr>
                            </w:pPr>
                            <w:r w:rsidRPr="00310615">
                              <w:rPr>
                                <w:rFonts w:ascii="Helvetica" w:hAnsi="Helvetica" w:cs="Helvetica"/>
                                <w:sz w:val="22"/>
                                <w:szCs w:val="22"/>
                              </w:rPr>
                              <w:t>Reunión de Admón de Riesgos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C2D4F" id="_x0000_t202" coordsize="21600,21600" o:spt="202" path="m,l,21600r21600,l21600,xe">
                <v:stroke joinstyle="miter"/>
                <v:path gradientshapeok="t" o:connecttype="rect"/>
              </v:shapetype>
              <v:shape id="Text Box 32" o:spid="_x0000_s1026" type="#_x0000_t202" style="position:absolute;left:0;text-align:left;margin-left:299.9pt;margin-top:8.8pt;width:109.5pt;height:4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FNFgIAAC0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">
                <v:textbox>
                  <w:txbxContent>
                    <w:p w14:paraId="0D91A048" w14:textId="77777777" w:rsidR="0084542F" w:rsidRPr="00310615" w:rsidRDefault="0084542F" w:rsidP="0084542F">
                      <w:pPr>
                        <w:jc w:val="center"/>
                        <w:rPr>
                          <w:rFonts w:ascii="Helvetica" w:hAnsi="Helvetica" w:cs="Helvetica"/>
                          <w:sz w:val="22"/>
                          <w:szCs w:val="22"/>
                        </w:rPr>
                      </w:pPr>
                      <w:r w:rsidRPr="00310615">
                        <w:rPr>
                          <w:rFonts w:ascii="Helvetica" w:hAnsi="Helvetica" w:cs="Helvetica"/>
                          <w:sz w:val="22"/>
                          <w:szCs w:val="22"/>
                        </w:rPr>
                        <w:t>Reunión de Admón de Riesgos</w:t>
                      </w:r>
                    </w:p>
                  </w:txbxContent>
                </v:textbox>
              </v:shape>
            </w:pict>
          </mc:Fallback>
        </mc:AlternateContent>
      </w: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1552" behindDoc="0" locked="0" layoutInCell="1" allowOverlap="1" wp14:anchorId="2CE1F491" wp14:editId="73703571">
                <wp:simplePos x="0" y="0"/>
                <wp:positionH relativeFrom="column">
                  <wp:posOffset>1529715</wp:posOffset>
                </wp:positionH>
                <wp:positionV relativeFrom="paragraph">
                  <wp:posOffset>101600</wp:posOffset>
                </wp:positionV>
                <wp:extent cx="1984375" cy="502920"/>
                <wp:effectExtent l="0" t="0" r="15875" b="1143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02920"/>
                        </a:xfrm>
                        <a:prstGeom prst="rect">
                          <a:avLst/>
                        </a:prstGeom>
                        <a:solidFill>
                          <a:srgbClr val="FFFFFF"/>
                        </a:solidFill>
                        <a:ln w="9525">
                          <a:solidFill>
                            <a:srgbClr val="000000"/>
                          </a:solidFill>
                          <a:miter lim="800000"/>
                          <a:headEnd/>
                          <a:tailEnd/>
                        </a:ln>
                      </wps:spPr>
                      <wps:txbx>
                        <w:txbxContent>
                          <w:p w14:paraId="7C80C130" w14:textId="77777777" w:rsidR="0084542F" w:rsidRPr="00313E62" w:rsidRDefault="0084542F" w:rsidP="0084542F">
                            <w:pPr>
                              <w:jc w:val="center"/>
                              <w:rPr>
                                <w:b/>
                                <w:sz w:val="26"/>
                                <w:szCs w:val="26"/>
                              </w:rPr>
                            </w:pPr>
                            <w:r w:rsidRPr="00310615">
                              <w:rPr>
                                <w:rFonts w:ascii="Helvetica" w:hAnsi="Helvetica" w:cs="Helvetica"/>
                                <w:b/>
                                <w:sz w:val="22"/>
                                <w:szCs w:val="22"/>
                              </w:rPr>
                              <w:t>Director de Crédito Público y Tesoro Nacional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E1F491" id="Text Box 35" o:spid="_x0000_s1027" type="#_x0000_t202" style="position:absolute;left:0;text-align:left;margin-left:120.45pt;margin-top:8pt;width:156.2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">
                <v:textbox>
                  <w:txbxContent>
                    <w:p w14:paraId="7C80C130" w14:textId="77777777" w:rsidR="0084542F" w:rsidRPr="00313E62" w:rsidRDefault="0084542F" w:rsidP="0084542F">
                      <w:pPr>
                        <w:jc w:val="center"/>
                        <w:rPr>
                          <w:b/>
                          <w:sz w:val="26"/>
                          <w:szCs w:val="26"/>
                        </w:rPr>
                      </w:pPr>
                      <w:r w:rsidRPr="00310615">
                        <w:rPr>
                          <w:rFonts w:ascii="Helvetica" w:hAnsi="Helvetica" w:cs="Helvetica"/>
                          <w:b/>
                          <w:sz w:val="22"/>
                          <w:szCs w:val="22"/>
                        </w:rPr>
                        <w:t>Director de Crédito Público y Tesoro Nacional</w:t>
                      </w:r>
                    </w:p>
                  </w:txbxContent>
                </v:textbox>
              </v:shape>
            </w:pict>
          </mc:Fallback>
        </mc:AlternateContent>
      </w:r>
    </w:p>
    <w:p w14:paraId="23C26C0F"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5648" behindDoc="0" locked="0" layoutInCell="1" allowOverlap="1" wp14:anchorId="32BF16EE" wp14:editId="67DF6B12">
                <wp:simplePos x="0" y="0"/>
                <wp:positionH relativeFrom="column">
                  <wp:posOffset>5200015</wp:posOffset>
                </wp:positionH>
                <wp:positionV relativeFrom="paragraph">
                  <wp:posOffset>4445</wp:posOffset>
                </wp:positionV>
                <wp:extent cx="47625" cy="1460500"/>
                <wp:effectExtent l="38100" t="76200" r="447675" b="2540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7625" cy="1460500"/>
                        </a:xfrm>
                        <a:prstGeom prst="bentConnector3">
                          <a:avLst>
                            <a:gd name="adj1" fmla="val 966528"/>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184F8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26" type="#_x0000_t34" style="position:absolute;margin-left:409.45pt;margin-top:.35pt;width:3.75pt;height:115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" adj="208770" strokeweight="2pt">
                <v:stroke dashstyle="1 1" endarrow="block"/>
              </v:shape>
            </w:pict>
          </mc:Fallback>
        </mc:AlternateContent>
      </w:r>
    </w:p>
    <w:p w14:paraId="74B84F5E"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4624" behindDoc="0" locked="0" layoutInCell="1" allowOverlap="1" wp14:anchorId="011B7DBD" wp14:editId="16B37A3A">
                <wp:simplePos x="0" y="0"/>
                <wp:positionH relativeFrom="column">
                  <wp:posOffset>1729740</wp:posOffset>
                </wp:positionH>
                <wp:positionV relativeFrom="paragraph">
                  <wp:posOffset>175260</wp:posOffset>
                </wp:positionV>
                <wp:extent cx="681040" cy="852488"/>
                <wp:effectExtent l="85725" t="0" r="14605" b="71755"/>
                <wp:wrapNone/>
                <wp:docPr id="54" name="Conector recto de flecha 54"/>
                <wp:cNvGraphicFramePr/>
                <a:graphic xmlns:a="http://schemas.openxmlformats.org/drawingml/2006/main">
                  <a:graphicData uri="http://schemas.microsoft.com/office/word/2010/wordprocessingShape">
                    <wps:wsp>
                      <wps:cNvCnPr/>
                      <wps:spPr>
                        <a:xfrm rot="16200000" flipH="1" flipV="1">
                          <a:off x="0" y="0"/>
                          <a:ext cx="681040" cy="852488"/>
                        </a:xfrm>
                        <a:prstGeom prst="bentConnector3">
                          <a:avLst>
                            <a:gd name="adj1" fmla="val 66760"/>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036313" id="Conector recto de flecha 54" o:spid="_x0000_s1026" type="#_x0000_t34" style="position:absolute;margin-left:136.2pt;margin-top:13.8pt;width:53.65pt;height:67.15pt;rotation:-9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" adj="14420" strokeweight="2pt">
                <v:stroke endarrow="block" joinstyle="round"/>
              </v:shape>
            </w:pict>
          </mc:Fallback>
        </mc:AlternateContent>
      </w:r>
    </w:p>
    <w:p w14:paraId="5DC9B3C5"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2576" behindDoc="0" locked="0" layoutInCell="1" allowOverlap="1" wp14:anchorId="7E64D03F" wp14:editId="7C95E9AC">
                <wp:simplePos x="0" y="0"/>
                <wp:positionH relativeFrom="column">
                  <wp:posOffset>2481580</wp:posOffset>
                </wp:positionH>
                <wp:positionV relativeFrom="paragraph">
                  <wp:posOffset>150495</wp:posOffset>
                </wp:positionV>
                <wp:extent cx="2009775" cy="238125"/>
                <wp:effectExtent l="38100" t="0" r="47625" b="85725"/>
                <wp:wrapNone/>
                <wp:docPr id="5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09775" cy="238125"/>
                        </a:xfrm>
                        <a:prstGeom prst="bentConnector3">
                          <a:avLst>
                            <a:gd name="adj1" fmla="val -597"/>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8714" id="AutoShape 43" o:spid="_x0000_s1026" type="#_x0000_t34" style="position:absolute;margin-left:195.4pt;margin-top:11.85pt;width:158.25pt;height:18.7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" adj="-129" strokeweight="2pt">
                <v:stroke dashstyle="1 1" endarrow="block"/>
              </v:shape>
            </w:pict>
          </mc:Fallback>
        </mc:AlternateContent>
      </w:r>
    </w:p>
    <w:p w14:paraId="1E0278B1" w14:textId="77777777" w:rsidR="0084542F" w:rsidRPr="004439D0" w:rsidRDefault="0084542F" w:rsidP="00992EC7">
      <w:pPr>
        <w:spacing w:line="276" w:lineRule="auto"/>
        <w:jc w:val="both"/>
        <w:rPr>
          <w:rFonts w:ascii="Verdana" w:hAnsi="Verdana" w:cs="Helvetica"/>
          <w:sz w:val="22"/>
          <w:szCs w:val="22"/>
        </w:rPr>
      </w:pPr>
    </w:p>
    <w:p w14:paraId="5FDCD5E5" w14:textId="5BB4150F" w:rsidR="0084542F" w:rsidRPr="004439D0" w:rsidRDefault="00310615"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3600" behindDoc="0" locked="0" layoutInCell="1" allowOverlap="1" wp14:anchorId="1E32598E" wp14:editId="57E5E859">
                <wp:simplePos x="0" y="0"/>
                <wp:positionH relativeFrom="column">
                  <wp:posOffset>2496502</wp:posOffset>
                </wp:positionH>
                <wp:positionV relativeFrom="paragraph">
                  <wp:posOffset>160020</wp:posOffset>
                </wp:positionV>
                <wp:extent cx="2260600" cy="204470"/>
                <wp:effectExtent l="0" t="0" r="63500" b="6223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0" cy="204470"/>
                        </a:xfrm>
                        <a:prstGeom prst="bentConnector3">
                          <a:avLst>
                            <a:gd name="adj1" fmla="val 99606"/>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71B37" id="AutoShape 44" o:spid="_x0000_s1026" type="#_x0000_t34" style="position:absolute;margin-left:196.55pt;margin-top:12.6pt;width:178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" adj="21515" strokeweight="2pt">
                <v:stroke endarrow="block"/>
              </v:shape>
            </w:pict>
          </mc:Fallback>
        </mc:AlternateContent>
      </w:r>
    </w:p>
    <w:p w14:paraId="3606A9DA" w14:textId="40AA2E04" w:rsidR="0084542F" w:rsidRPr="004439D0" w:rsidRDefault="0084542F" w:rsidP="00992EC7">
      <w:pPr>
        <w:spacing w:line="276" w:lineRule="auto"/>
        <w:jc w:val="both"/>
        <w:rPr>
          <w:rFonts w:ascii="Verdana" w:hAnsi="Verdana" w:cs="Helvetica"/>
          <w:sz w:val="22"/>
          <w:szCs w:val="22"/>
        </w:rPr>
      </w:pPr>
    </w:p>
    <w:p w14:paraId="38AEED1B" w14:textId="2152C430" w:rsidR="0084542F" w:rsidRPr="004439D0" w:rsidRDefault="00310615"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65408" behindDoc="0" locked="0" layoutInCell="1" allowOverlap="1" wp14:anchorId="1E12C24B" wp14:editId="31255246">
                <wp:simplePos x="0" y="0"/>
                <wp:positionH relativeFrom="column">
                  <wp:posOffset>3872865</wp:posOffset>
                </wp:positionH>
                <wp:positionV relativeFrom="paragraph">
                  <wp:posOffset>26035</wp:posOffset>
                </wp:positionV>
                <wp:extent cx="1327150" cy="635000"/>
                <wp:effectExtent l="0" t="0" r="25400" b="1270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35000"/>
                        </a:xfrm>
                        <a:prstGeom prst="rect">
                          <a:avLst/>
                        </a:prstGeom>
                        <a:solidFill>
                          <a:srgbClr val="FFFFFF"/>
                        </a:solidFill>
                        <a:ln w="9525">
                          <a:solidFill>
                            <a:srgbClr val="000000"/>
                          </a:solidFill>
                          <a:miter lim="800000"/>
                          <a:headEnd/>
                          <a:tailEnd/>
                        </a:ln>
                      </wps:spPr>
                      <wps:txbx>
                        <w:txbxContent>
                          <w:p w14:paraId="75846DC5" w14:textId="77777777" w:rsidR="0084542F" w:rsidRPr="00310615" w:rsidRDefault="0084542F" w:rsidP="0084542F">
                            <w:pPr>
                              <w:jc w:val="center"/>
                              <w:rPr>
                                <w:rFonts w:ascii="Helvetica" w:hAnsi="Helvetica" w:cs="Helvetica"/>
                              </w:rPr>
                            </w:pPr>
                            <w:r w:rsidRPr="00310615">
                              <w:rPr>
                                <w:rFonts w:ascii="Helvetica" w:hAnsi="Helvetica" w:cs="Helvetica"/>
                              </w:rPr>
                              <w:t>Subdirección de Riesgo</w:t>
                            </w:r>
                          </w:p>
                          <w:p w14:paraId="25FE1B0B" w14:textId="7F3D274C" w:rsidR="0084542F" w:rsidRPr="00310615" w:rsidRDefault="0084542F" w:rsidP="0084542F">
                            <w:pPr>
                              <w:jc w:val="center"/>
                              <w:rPr>
                                <w:rFonts w:ascii="Helvetica" w:hAnsi="Helvetica" w:cs="Helvetica"/>
                                <w:b/>
                              </w:rPr>
                            </w:pPr>
                            <w:r w:rsidRPr="00310615">
                              <w:rPr>
                                <w:rFonts w:ascii="Helvetica" w:hAnsi="Helvetica" w:cs="Helvetica"/>
                                <w:b/>
                                <w:i/>
                              </w:rPr>
                              <w:t>Middle Office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2C24B" id="Text Box 37" o:spid="_x0000_s1028" type="#_x0000_t202" style="position:absolute;left:0;text-align:left;margin-left:304.95pt;margin-top:2.05pt;width:104.5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">
                <v:textbox>
                  <w:txbxContent>
                    <w:p w14:paraId="75846DC5" w14:textId="77777777" w:rsidR="0084542F" w:rsidRPr="00310615" w:rsidRDefault="0084542F" w:rsidP="0084542F">
                      <w:pPr>
                        <w:jc w:val="center"/>
                        <w:rPr>
                          <w:rFonts w:ascii="Helvetica" w:hAnsi="Helvetica" w:cs="Helvetica"/>
                        </w:rPr>
                      </w:pPr>
                      <w:r w:rsidRPr="00310615">
                        <w:rPr>
                          <w:rFonts w:ascii="Helvetica" w:hAnsi="Helvetica" w:cs="Helvetica"/>
                        </w:rPr>
                        <w:t>Subdirección de Riesgo</w:t>
                      </w:r>
                    </w:p>
                    <w:p w14:paraId="25FE1B0B" w14:textId="7F3D274C" w:rsidR="0084542F" w:rsidRPr="00310615" w:rsidRDefault="0084542F" w:rsidP="0084542F">
                      <w:pPr>
                        <w:jc w:val="center"/>
                        <w:rPr>
                          <w:rFonts w:ascii="Helvetica" w:hAnsi="Helvetica" w:cs="Helvetica"/>
                          <w:b/>
                        </w:rPr>
                      </w:pPr>
                      <w:r w:rsidRPr="00310615">
                        <w:rPr>
                          <w:rFonts w:ascii="Helvetica" w:hAnsi="Helvetica" w:cs="Helvetica"/>
                          <w:b/>
                          <w:i/>
                        </w:rPr>
                        <w:t>Middle Office</w:t>
                      </w:r>
                    </w:p>
                  </w:txbxContent>
                </v:textbox>
              </v:shape>
            </w:pict>
          </mc:Fallback>
        </mc:AlternateContent>
      </w: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0528" behindDoc="0" locked="0" layoutInCell="1" allowOverlap="1" wp14:anchorId="4EAED064" wp14:editId="2A03C182">
                <wp:simplePos x="0" y="0"/>
                <wp:positionH relativeFrom="column">
                  <wp:posOffset>551815</wp:posOffset>
                </wp:positionH>
                <wp:positionV relativeFrom="paragraph">
                  <wp:posOffset>6985</wp:posOffset>
                </wp:positionV>
                <wp:extent cx="2634615" cy="641350"/>
                <wp:effectExtent l="0" t="0" r="13335" b="2540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641350"/>
                        </a:xfrm>
                        <a:prstGeom prst="rect">
                          <a:avLst/>
                        </a:prstGeom>
                        <a:solidFill>
                          <a:srgbClr val="FFFFFF"/>
                        </a:solidFill>
                        <a:ln w="9525">
                          <a:solidFill>
                            <a:srgbClr val="000000"/>
                          </a:solidFill>
                          <a:miter lim="800000"/>
                          <a:headEnd/>
                          <a:tailEnd/>
                        </a:ln>
                      </wps:spPr>
                      <wps:txbx>
                        <w:txbxContent>
                          <w:p w14:paraId="40193288" w14:textId="77777777" w:rsidR="0084542F" w:rsidRPr="00310615" w:rsidRDefault="0084542F" w:rsidP="0084542F">
                            <w:pPr>
                              <w:jc w:val="center"/>
                              <w:rPr>
                                <w:rFonts w:ascii="Helvetica" w:hAnsi="Helvetica" w:cs="Helvetica"/>
                              </w:rPr>
                            </w:pPr>
                            <w:r>
                              <w:t xml:space="preserve">8 </w:t>
                            </w:r>
                            <w:r w:rsidRPr="00310615">
                              <w:rPr>
                                <w:rFonts w:ascii="Helvetica" w:hAnsi="Helvetica" w:cs="Helvetica"/>
                              </w:rPr>
                              <w:t>Subdirecciones y Grupo de Asuntos Legales</w:t>
                            </w:r>
                          </w:p>
                          <w:p w14:paraId="21B46027" w14:textId="77777777" w:rsidR="0084542F" w:rsidRPr="00310615" w:rsidRDefault="0084542F" w:rsidP="0084542F">
                            <w:pPr>
                              <w:jc w:val="center"/>
                              <w:rPr>
                                <w:rFonts w:ascii="Helvetica" w:hAnsi="Helvetica" w:cs="Helvetica"/>
                                <w:b/>
                              </w:rPr>
                            </w:pPr>
                            <w:r w:rsidRPr="00310615">
                              <w:rPr>
                                <w:rFonts w:ascii="Helvetica" w:hAnsi="Helvetica" w:cs="Helvetica"/>
                                <w:b/>
                                <w:i/>
                              </w:rPr>
                              <w:t>Front</w:t>
                            </w:r>
                            <w:r w:rsidRPr="00310615">
                              <w:rPr>
                                <w:rFonts w:ascii="Helvetica" w:hAnsi="Helvetica" w:cs="Helvetica"/>
                                <w:b/>
                              </w:rPr>
                              <w:t xml:space="preserve"> y </w:t>
                            </w:r>
                            <w:r w:rsidRPr="00310615">
                              <w:rPr>
                                <w:rFonts w:ascii="Helvetica" w:hAnsi="Helvetica" w:cs="Helvetica"/>
                                <w:b/>
                                <w:i/>
                              </w:rPr>
                              <w:t>Back Office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AED064" id="Text Box 34" o:spid="_x0000_s1029" type="#_x0000_t202" style="position:absolute;left:0;text-align:left;margin-left:43.45pt;margin-top:.55pt;width:207.45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">
                <v:textbox>
                  <w:txbxContent>
                    <w:p w14:paraId="40193288" w14:textId="77777777" w:rsidR="0084542F" w:rsidRPr="00310615" w:rsidRDefault="0084542F" w:rsidP="0084542F">
                      <w:pPr>
                        <w:jc w:val="center"/>
                        <w:rPr>
                          <w:rFonts w:ascii="Helvetica" w:hAnsi="Helvetica" w:cs="Helvetica"/>
                        </w:rPr>
                      </w:pPr>
                      <w:r>
                        <w:t xml:space="preserve">8 </w:t>
                      </w:r>
                      <w:r w:rsidRPr="00310615">
                        <w:rPr>
                          <w:rFonts w:ascii="Helvetica" w:hAnsi="Helvetica" w:cs="Helvetica"/>
                        </w:rPr>
                        <w:t>Subdirecciones y Grupo de Asuntos Legales</w:t>
                      </w:r>
                    </w:p>
                    <w:p w14:paraId="21B46027" w14:textId="77777777" w:rsidR="0084542F" w:rsidRPr="00310615" w:rsidRDefault="0084542F" w:rsidP="0084542F">
                      <w:pPr>
                        <w:jc w:val="center"/>
                        <w:rPr>
                          <w:rFonts w:ascii="Helvetica" w:hAnsi="Helvetica" w:cs="Helvetica"/>
                          <w:b/>
                        </w:rPr>
                      </w:pPr>
                      <w:r w:rsidRPr="00310615">
                        <w:rPr>
                          <w:rFonts w:ascii="Helvetica" w:hAnsi="Helvetica" w:cs="Helvetica"/>
                          <w:b/>
                          <w:i/>
                        </w:rPr>
                        <w:t>Front</w:t>
                      </w:r>
                      <w:r w:rsidRPr="00310615">
                        <w:rPr>
                          <w:rFonts w:ascii="Helvetica" w:hAnsi="Helvetica" w:cs="Helvetica"/>
                          <w:b/>
                        </w:rPr>
                        <w:t xml:space="preserve"> y </w:t>
                      </w:r>
                      <w:r w:rsidRPr="00310615">
                        <w:rPr>
                          <w:rFonts w:ascii="Helvetica" w:hAnsi="Helvetica" w:cs="Helvetica"/>
                          <w:b/>
                          <w:i/>
                        </w:rPr>
                        <w:t>Back Office</w:t>
                      </w:r>
                    </w:p>
                  </w:txbxContent>
                </v:textbox>
              </v:shape>
            </w:pict>
          </mc:Fallback>
        </mc:AlternateContent>
      </w:r>
    </w:p>
    <w:p w14:paraId="29CB07A4" w14:textId="498BFF41" w:rsidR="0084542F" w:rsidRPr="004439D0" w:rsidRDefault="00310615" w:rsidP="00992EC7">
      <w:pPr>
        <w:spacing w:line="276" w:lineRule="auto"/>
        <w:jc w:val="both"/>
        <w:rPr>
          <w:rFonts w:ascii="Verdana" w:hAnsi="Verdana" w:cs="Helvetica"/>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76672" behindDoc="1" locked="0" layoutInCell="1" allowOverlap="1" wp14:anchorId="7A0B6FF5" wp14:editId="432A7937">
                <wp:simplePos x="0" y="0"/>
                <wp:positionH relativeFrom="margin">
                  <wp:posOffset>2511425</wp:posOffset>
                </wp:positionH>
                <wp:positionV relativeFrom="paragraph">
                  <wp:posOffset>163195</wp:posOffset>
                </wp:positionV>
                <wp:extent cx="752475" cy="523875"/>
                <wp:effectExtent l="0" t="0" r="28575" b="28575"/>
                <wp:wrapTight wrapText="bothSides">
                  <wp:wrapPolygon edited="0">
                    <wp:start x="0" y="0"/>
                    <wp:lineTo x="0" y="21993"/>
                    <wp:lineTo x="21873" y="21993"/>
                    <wp:lineTo x="21873" y="0"/>
                    <wp:lineTo x="0" y="0"/>
                  </wp:wrapPolygon>
                </wp:wrapTight>
                <wp:docPr id="58" name="Cuadro de texto 58"/>
                <wp:cNvGraphicFramePr/>
                <a:graphic xmlns:a="http://schemas.openxmlformats.org/drawingml/2006/main">
                  <a:graphicData uri="http://schemas.microsoft.com/office/word/2010/wordprocessingShape">
                    <wps:wsp>
                      <wps:cNvSpPr txBox="1"/>
                      <wps:spPr>
                        <a:xfrm>
                          <a:off x="0" y="0"/>
                          <a:ext cx="7524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EF0C4" w14:textId="77777777" w:rsidR="0084542F" w:rsidRPr="00310615" w:rsidRDefault="0084542F" w:rsidP="0084542F">
                            <w:pPr>
                              <w:rPr>
                                <w:rFonts w:ascii="Helvetica" w:hAnsi="Helvetica" w:cs="Helvetica"/>
                              </w:rPr>
                            </w:pPr>
                            <w:r w:rsidRPr="00310615">
                              <w:rPr>
                                <w:rFonts w:ascii="Helvetica" w:hAnsi="Helvetica" w:cs="Helvetica"/>
                              </w:rPr>
                              <w:t>Gestores de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6FF5" id="Cuadro de texto 58" o:spid="_x0000_s1030" type="#_x0000_t202" style="position:absolute;left:0;text-align:left;margin-left:197.75pt;margin-top:12.85pt;width:59.25pt;height:41.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" fillcolor="white [3201]" strokeweight=".5pt">
                <v:textbox>
                  <w:txbxContent>
                    <w:p w14:paraId="24EEF0C4" w14:textId="77777777" w:rsidR="0084542F" w:rsidRPr="00310615" w:rsidRDefault="0084542F" w:rsidP="0084542F">
                      <w:pPr>
                        <w:rPr>
                          <w:rFonts w:ascii="Helvetica" w:hAnsi="Helvetica" w:cs="Helvetica"/>
                        </w:rPr>
                      </w:pPr>
                      <w:r w:rsidRPr="00310615">
                        <w:rPr>
                          <w:rFonts w:ascii="Helvetica" w:hAnsi="Helvetica" w:cs="Helvetica"/>
                        </w:rPr>
                        <w:t>Gestores de Riesgo</w:t>
                      </w:r>
                    </w:p>
                  </w:txbxContent>
                </v:textbox>
                <w10:wrap type="tight" anchorx="margin"/>
              </v:shape>
            </w:pict>
          </mc:Fallback>
        </mc:AlternateContent>
      </w:r>
    </w:p>
    <w:p w14:paraId="6CF0E874" w14:textId="129A6E73"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66432" behindDoc="0" locked="0" layoutInCell="1" allowOverlap="1" wp14:anchorId="377729F6" wp14:editId="3C7E967F">
                <wp:simplePos x="0" y="0"/>
                <wp:positionH relativeFrom="column">
                  <wp:posOffset>3279140</wp:posOffset>
                </wp:positionH>
                <wp:positionV relativeFrom="paragraph">
                  <wp:posOffset>85090</wp:posOffset>
                </wp:positionV>
                <wp:extent cx="549275" cy="635"/>
                <wp:effectExtent l="38100" t="76200" r="0" b="94615"/>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9275" cy="635"/>
                        </a:xfrm>
                        <a:prstGeom prst="bentConnector3">
                          <a:avLst>
                            <a:gd name="adj1" fmla="val 53412"/>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8EDDE" id="AutoShape 38" o:spid="_x0000_s1026" type="#_x0000_t34" style="position:absolute;margin-left:258.2pt;margin-top:6.7pt;width:43.25pt;height:.0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" adj="11537" strokeweight="2pt">
                <v:stroke dashstyle="1 1" endarrow="block"/>
              </v:shape>
            </w:pict>
          </mc:Fallback>
        </mc:AlternateContent>
      </w:r>
    </w:p>
    <w:p w14:paraId="7112AE16" w14:textId="17D9680F" w:rsidR="0084542F" w:rsidRPr="004439D0" w:rsidRDefault="0084542F" w:rsidP="00992EC7">
      <w:pPr>
        <w:spacing w:line="276" w:lineRule="auto"/>
        <w:jc w:val="both"/>
        <w:rPr>
          <w:rFonts w:ascii="Verdana" w:hAnsi="Verdana" w:cs="Helvetica"/>
          <w:color w:val="000000"/>
          <w:sz w:val="22"/>
          <w:szCs w:val="22"/>
        </w:rPr>
      </w:pPr>
    </w:p>
    <w:p w14:paraId="74AD7D3F" w14:textId="77777777" w:rsidR="0084542F" w:rsidRPr="004439D0" w:rsidRDefault="0084542F" w:rsidP="00992EC7">
      <w:pPr>
        <w:spacing w:line="276" w:lineRule="auto"/>
        <w:jc w:val="both"/>
        <w:rPr>
          <w:rFonts w:ascii="Verdana" w:hAnsi="Verdana" w:cs="Helvetica"/>
          <w:color w:val="000000"/>
          <w:sz w:val="22"/>
          <w:szCs w:val="22"/>
        </w:rPr>
      </w:pPr>
    </w:p>
    <w:p w14:paraId="3A58434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mc:AlternateContent>
          <mc:Choice Requires="wps">
            <w:drawing>
              <wp:anchor distT="4294967294" distB="4294967294" distL="114300" distR="114300" simplePos="0" relativeHeight="251667456" behindDoc="0" locked="0" layoutInCell="1" allowOverlap="1" wp14:anchorId="7160EED4" wp14:editId="2EB721AB">
                <wp:simplePos x="0" y="0"/>
                <wp:positionH relativeFrom="column">
                  <wp:posOffset>1411605</wp:posOffset>
                </wp:positionH>
                <wp:positionV relativeFrom="paragraph">
                  <wp:posOffset>89535</wp:posOffset>
                </wp:positionV>
                <wp:extent cx="528320" cy="0"/>
                <wp:effectExtent l="0" t="76200" r="24130" b="9525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604CFA" id="_x0000_t32" coordsize="21600,21600" o:spt="32" o:oned="t" path="m,l21600,21600e" filled="f">
                <v:path arrowok="t" fillok="f" o:connecttype="none"/>
                <o:lock v:ext="edit" shapetype="t"/>
              </v:shapetype>
              <v:shape id="AutoShape 30" o:spid="_x0000_s1026" type="#_x0000_t32" style="position:absolute;margin-left:111.15pt;margin-top:7.05pt;width:41.6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" strokeweight="2pt">
                <v:stroke endarrow="block"/>
              </v:shape>
            </w:pict>
          </mc:Fallback>
        </mc:AlternateContent>
      </w:r>
      <w:r w:rsidRPr="004439D0">
        <w:rPr>
          <w:rFonts w:ascii="Verdana" w:hAnsi="Verdana" w:cs="Helvetica"/>
          <w:color w:val="000000"/>
          <w:sz w:val="22"/>
          <w:szCs w:val="22"/>
        </w:rPr>
        <w:t xml:space="preserve">Línea de autoridad: </w:t>
      </w:r>
    </w:p>
    <w:p w14:paraId="671A72F4"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mc:AlternateContent>
          <mc:Choice Requires="wps">
            <w:drawing>
              <wp:anchor distT="0" distB="0" distL="114300" distR="114300" simplePos="0" relativeHeight="251668480" behindDoc="0" locked="0" layoutInCell="1" allowOverlap="1" wp14:anchorId="42937144" wp14:editId="2D6D16DF">
                <wp:simplePos x="0" y="0"/>
                <wp:positionH relativeFrom="column">
                  <wp:posOffset>1421130</wp:posOffset>
                </wp:positionH>
                <wp:positionV relativeFrom="paragraph">
                  <wp:posOffset>46990</wp:posOffset>
                </wp:positionV>
                <wp:extent cx="539115" cy="635"/>
                <wp:effectExtent l="0" t="76200" r="13335" b="94615"/>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635"/>
                        </a:xfrm>
                        <a:prstGeom prst="bentConnector3">
                          <a:avLst>
                            <a:gd name="adj1" fmla="val 39339"/>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36E38" id="AutoShape 31" o:spid="_x0000_s1026" type="#_x0000_t34" style="position:absolute;margin-left:111.9pt;margin-top:3.7pt;width:42.4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" adj="8497" strokeweight="2pt">
                <v:stroke dashstyle="1 1" endarrow="block"/>
              </v:shape>
            </w:pict>
          </mc:Fallback>
        </mc:AlternateContent>
      </w:r>
      <w:r w:rsidRPr="004439D0">
        <w:rPr>
          <w:rFonts w:ascii="Verdana" w:hAnsi="Verdana" w:cs="Helvetica"/>
          <w:color w:val="000000"/>
          <w:sz w:val="22"/>
          <w:szCs w:val="22"/>
        </w:rPr>
        <w:t xml:space="preserve">Línea de control:   </w:t>
      </w:r>
    </w:p>
    <w:p w14:paraId="0BD5447C" w14:textId="77777777" w:rsidR="009E36A7" w:rsidRPr="004439D0" w:rsidRDefault="009E36A7" w:rsidP="00992EC7">
      <w:pPr>
        <w:spacing w:after="200" w:line="276" w:lineRule="auto"/>
        <w:contextualSpacing/>
        <w:jc w:val="both"/>
        <w:rPr>
          <w:rFonts w:ascii="Verdana" w:hAnsi="Verdana" w:cs="Helvetica"/>
          <w:color w:val="000000"/>
          <w:sz w:val="22"/>
          <w:szCs w:val="22"/>
        </w:rPr>
      </w:pPr>
    </w:p>
    <w:p w14:paraId="769CC846" w14:textId="4E5772A0" w:rsidR="0084542F" w:rsidRPr="004439D0" w:rsidRDefault="0084542F" w:rsidP="00992EC7">
      <w:pPr>
        <w:spacing w:after="200" w:line="276" w:lineRule="auto"/>
        <w:contextualSpacing/>
        <w:jc w:val="both"/>
        <w:rPr>
          <w:rFonts w:ascii="Verdana" w:hAnsi="Verdana" w:cs="Helvetica"/>
          <w:sz w:val="22"/>
          <w:szCs w:val="22"/>
        </w:rPr>
      </w:pPr>
      <w:r w:rsidRPr="004439D0">
        <w:rPr>
          <w:rFonts w:ascii="Verdana" w:hAnsi="Verdana" w:cs="Helvetica"/>
          <w:color w:val="000000"/>
          <w:sz w:val="22"/>
          <w:szCs w:val="22"/>
        </w:rPr>
        <w:t>La DGCPTN cuenta con una estructura organizacional de acuerdo a sus funciones y se encuentra dividida en 8 subdirecciones las cuales cu</w:t>
      </w:r>
      <w:r w:rsidRPr="004439D0">
        <w:rPr>
          <w:rFonts w:ascii="Verdana" w:hAnsi="Verdana" w:cs="Helvetica"/>
          <w:sz w:val="22"/>
          <w:szCs w:val="22"/>
        </w:rPr>
        <w:t>entan con el apoyo del Grupo de Asuntos Legales,</w:t>
      </w:r>
      <w:r w:rsidRPr="004439D0">
        <w:rPr>
          <w:rFonts w:ascii="Verdana" w:hAnsi="Verdana" w:cs="Helvetica"/>
          <w:color w:val="000000"/>
          <w:sz w:val="22"/>
          <w:szCs w:val="22"/>
        </w:rPr>
        <w:t xml:space="preserve"> como se muestra a continuación:</w:t>
      </w:r>
    </w:p>
    <w:p w14:paraId="77BC2721"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noProof/>
          <w:sz w:val="22"/>
          <w:szCs w:val="22"/>
        </w:rPr>
        <w:t xml:space="preserve">  </w:t>
      </w:r>
      <w:r w:rsidRPr="004439D0">
        <w:rPr>
          <w:rFonts w:ascii="Verdana" w:hAnsi="Verdana" w:cs="Helvetica"/>
          <w:noProof/>
          <w:sz w:val="22"/>
          <w:szCs w:val="22"/>
          <w:lang w:val="en-US" w:eastAsia="en-US"/>
        </w:rPr>
        <w:drawing>
          <wp:inline distT="0" distB="0" distL="0" distR="0" wp14:anchorId="4D132255" wp14:editId="7218EEFE">
            <wp:extent cx="5191125" cy="4876800"/>
            <wp:effectExtent l="0" t="0" r="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C944BEF" w14:textId="77777777" w:rsidR="007850D3" w:rsidRPr="004439D0" w:rsidRDefault="007850D3" w:rsidP="007850D3">
      <w:pPr>
        <w:rPr>
          <w:rFonts w:ascii="Verdana" w:hAnsi="Verdana"/>
        </w:rPr>
      </w:pPr>
      <w:bookmarkStart w:id="55" w:name="_Toc507771251"/>
      <w:bookmarkStart w:id="56" w:name="_Toc4590628"/>
    </w:p>
    <w:p w14:paraId="08360704" w14:textId="62AB9C33" w:rsidR="0084542F" w:rsidRPr="004439D0" w:rsidRDefault="0084542F" w:rsidP="00FC7D4F">
      <w:pPr>
        <w:pStyle w:val="Ttulo3"/>
        <w:numPr>
          <w:ilvl w:val="1"/>
          <w:numId w:val="24"/>
        </w:numPr>
        <w:jc w:val="both"/>
        <w:rPr>
          <w:rFonts w:ascii="Verdana" w:hAnsi="Verdana" w:cs="Helvetica"/>
          <w:b/>
          <w:bCs/>
          <w:sz w:val="22"/>
          <w:szCs w:val="22"/>
        </w:rPr>
      </w:pPr>
      <w:bookmarkStart w:id="57" w:name="_Toc155883047"/>
      <w:r w:rsidRPr="004439D0">
        <w:rPr>
          <w:rFonts w:ascii="Verdana" w:hAnsi="Verdana" w:cs="Helvetica"/>
          <w:b/>
          <w:bCs/>
          <w:sz w:val="22"/>
          <w:szCs w:val="22"/>
        </w:rPr>
        <w:t>Política de Acceso y Administración de Usuarios</w:t>
      </w:r>
      <w:bookmarkEnd w:id="55"/>
      <w:bookmarkEnd w:id="56"/>
      <w:bookmarkEnd w:id="57"/>
      <w:r w:rsidRPr="004439D0">
        <w:rPr>
          <w:rFonts w:ascii="Verdana" w:hAnsi="Verdana" w:cs="Helvetica"/>
          <w:b/>
          <w:bCs/>
          <w:sz w:val="22"/>
          <w:szCs w:val="22"/>
        </w:rPr>
        <w:t xml:space="preserve"> </w:t>
      </w:r>
    </w:p>
    <w:p w14:paraId="1BB7D8D5" w14:textId="77777777" w:rsidR="0084542F" w:rsidRPr="004439D0" w:rsidRDefault="0084542F" w:rsidP="00992EC7">
      <w:pPr>
        <w:jc w:val="both"/>
        <w:rPr>
          <w:rFonts w:ascii="Verdana" w:hAnsi="Verdana" w:cs="Helvetica"/>
          <w:sz w:val="22"/>
          <w:szCs w:val="22"/>
        </w:rPr>
      </w:pPr>
    </w:p>
    <w:p w14:paraId="77061594" w14:textId="77777777" w:rsidR="0084542F" w:rsidRPr="004439D0" w:rsidRDefault="0084542F" w:rsidP="00FC7D4F">
      <w:pPr>
        <w:pStyle w:val="Prrafodelista"/>
        <w:numPr>
          <w:ilvl w:val="0"/>
          <w:numId w:val="21"/>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El jefe de cada dependencia (Director, Subdirector o Coordinador de Grupo) elaborará la programación de vacaciones de los funcionarios de su área la cual será enviada al enlace administrativo para que este consolide la programación de las vacaciones de todos los funcionarios de la Dirección para firma del director quien posteriormente enviará a la Subdirección de Recursos Humanos, con visto bueno de la DGCPTN, verificando que cada funcionario disfrute de su periodo de vacaciones. En casos debidamente justificados, por necesidades del servicio, se podrán suspender las vacaciones después de disfrutar como mínimo diez (10) días hábiles continuos por cada año de servicio, de conformidad con las garantías establecidas por la póliza de Infidelidad y Riesgos Financieros-IRF-</w:t>
      </w:r>
    </w:p>
    <w:p w14:paraId="4A3425C2" w14:textId="77777777" w:rsidR="0084542F" w:rsidRPr="004439D0" w:rsidRDefault="0084542F" w:rsidP="00FC7D4F">
      <w:pPr>
        <w:pStyle w:val="Prrafodelista"/>
        <w:numPr>
          <w:ilvl w:val="0"/>
          <w:numId w:val="20"/>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Se podrá acumular hasta dos periodos de vacaciones, siempre que la acumulación obedezca a necesidades del servicio. Será responsabilidad del jefe de la dependencia, que los funcionarios no tengan más de dos periodos de vacaciones acumulados, para lo cual podrá programarlas de oficio, acordando con el funcionario entre varias alternativas, la fecha del disfrute. Si no hay acuerdo el jefe fijará la fecha y la comunicará a la Subdirección de Recursos Humanos </w:t>
      </w:r>
    </w:p>
    <w:p w14:paraId="4D99524D" w14:textId="77777777" w:rsidR="0084542F" w:rsidRPr="004439D0" w:rsidRDefault="0084542F" w:rsidP="00992EC7">
      <w:pPr>
        <w:pStyle w:val="Prrafodelista"/>
        <w:spacing w:after="200" w:line="276" w:lineRule="auto"/>
        <w:ind w:left="720"/>
        <w:contextualSpacing/>
        <w:jc w:val="both"/>
        <w:rPr>
          <w:rFonts w:ascii="Verdana" w:hAnsi="Verdana" w:cs="Helvetica"/>
          <w:color w:val="000000"/>
          <w:sz w:val="22"/>
          <w:szCs w:val="22"/>
        </w:rPr>
      </w:pPr>
    </w:p>
    <w:p w14:paraId="0DF7311D"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Por cada periodo acumulado, el tiempo mínimo de disfrute de vacaciones es de diez (10) días hábiles</w:t>
      </w:r>
    </w:p>
    <w:p w14:paraId="5F23D08B" w14:textId="77777777" w:rsidR="0084542F" w:rsidRPr="004439D0" w:rsidRDefault="0084542F" w:rsidP="00992EC7">
      <w:pPr>
        <w:spacing w:line="276" w:lineRule="auto"/>
        <w:contextualSpacing/>
        <w:jc w:val="both"/>
        <w:rPr>
          <w:rFonts w:ascii="Verdana" w:hAnsi="Verdana" w:cs="Helvetica"/>
          <w:color w:val="000000"/>
          <w:sz w:val="22"/>
          <w:szCs w:val="22"/>
        </w:rPr>
      </w:pPr>
    </w:p>
    <w:p w14:paraId="7C04485F"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 interrupción o el aplazamiento de vacaciones debe contar con el visto bueno de la DGCPTN, motivando las razones que justifican tal situación</w:t>
      </w:r>
    </w:p>
    <w:p w14:paraId="4B596996" w14:textId="77777777" w:rsidR="0084542F" w:rsidRPr="004439D0" w:rsidRDefault="0084542F" w:rsidP="00992EC7">
      <w:pPr>
        <w:spacing w:line="276" w:lineRule="auto"/>
        <w:contextualSpacing/>
        <w:jc w:val="both"/>
        <w:rPr>
          <w:rFonts w:ascii="Verdana" w:hAnsi="Verdana" w:cs="Helvetica"/>
          <w:color w:val="000000"/>
          <w:sz w:val="22"/>
          <w:szCs w:val="22"/>
        </w:rPr>
      </w:pPr>
    </w:p>
    <w:p w14:paraId="403469BF" w14:textId="47E44BF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Queda prohibido el acceso a las instalaciones de la DGCPTN mientras los funcionarios se encuentren en alguna situación administrativa: vacaciones, incapacidades, licencias y/o permisos. En caso de requerir el ingreso, atendiendo a las necesidades del servicio, el mismo, debe ser autorizado por Director General de Crédito Público y Tesoro Nacional y, en </w:t>
      </w:r>
      <w:r w:rsidR="004E4AB7" w:rsidRPr="004439D0">
        <w:rPr>
          <w:rFonts w:ascii="Verdana" w:hAnsi="Verdana" w:cs="Helvetica"/>
          <w:color w:val="000000"/>
          <w:sz w:val="22"/>
          <w:szCs w:val="22"/>
        </w:rPr>
        <w:t>estos</w:t>
      </w:r>
      <w:r w:rsidRPr="004439D0">
        <w:rPr>
          <w:rFonts w:ascii="Verdana" w:hAnsi="Verdana" w:cs="Helvetica"/>
          <w:color w:val="000000"/>
          <w:sz w:val="22"/>
          <w:szCs w:val="22"/>
        </w:rPr>
        <w:t xml:space="preserve"> eventos, se solicitará por parte del jefe Inmediato a la Subdirección de Recursos Humanos la expedición del respectivo acto administrativo que autorice el ingreso con copia al administrador de usuarios de la DGCPTN. (Se exceptúa la situación administrativa de incapacidad)</w:t>
      </w:r>
    </w:p>
    <w:p w14:paraId="35C99E74" w14:textId="77777777" w:rsidR="0084542F" w:rsidRPr="004439D0" w:rsidRDefault="0084542F" w:rsidP="00992EC7">
      <w:pPr>
        <w:spacing w:line="276" w:lineRule="auto"/>
        <w:contextualSpacing/>
        <w:jc w:val="both"/>
        <w:rPr>
          <w:rFonts w:ascii="Verdana" w:hAnsi="Verdana" w:cs="Helvetica"/>
          <w:color w:val="000000"/>
          <w:sz w:val="22"/>
          <w:szCs w:val="22"/>
        </w:rPr>
      </w:pPr>
    </w:p>
    <w:p w14:paraId="12D0885B"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funcionarios, contratistas y pasantes adscritos a la DGCPTN, son las únicas personas autorizadas para ingresar a las instalaciones de la DGCPTN, las demás personas que para el cumplimiento de sus funciones requieran ingresar de manera permanente por un tiempo determinado, deberán gestionar el permiso de acceso con el jefe del área donde van a desarrollar sus funciones y tramitar el acceso a través del administrador de usuarios de la DGCPTN, con la debida justificación</w:t>
      </w:r>
    </w:p>
    <w:p w14:paraId="650BD815" w14:textId="77777777" w:rsidR="0084542F" w:rsidRPr="004439D0" w:rsidRDefault="0084542F" w:rsidP="00992EC7">
      <w:pPr>
        <w:spacing w:line="276" w:lineRule="auto"/>
        <w:contextualSpacing/>
        <w:jc w:val="both"/>
        <w:rPr>
          <w:rFonts w:ascii="Verdana" w:hAnsi="Verdana" w:cs="Helvetica"/>
          <w:color w:val="000000"/>
          <w:sz w:val="22"/>
          <w:szCs w:val="22"/>
        </w:rPr>
      </w:pPr>
    </w:p>
    <w:p w14:paraId="126D9358"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proveedores, visitantes, contratistas, así como el personal externo al MHCP que requieran ingresar a la DGCPTN, deberán anunciarse en la recepción de la misma, y requerirán autorización del jefe del área del funcionario que visita</w:t>
      </w:r>
    </w:p>
    <w:p w14:paraId="10BA5829" w14:textId="77777777" w:rsidR="0084542F" w:rsidRPr="004439D0" w:rsidRDefault="0084542F" w:rsidP="00992EC7">
      <w:pPr>
        <w:spacing w:line="276" w:lineRule="auto"/>
        <w:contextualSpacing/>
        <w:jc w:val="both"/>
        <w:rPr>
          <w:rFonts w:ascii="Verdana" w:hAnsi="Verdana" w:cs="Helvetica"/>
          <w:color w:val="000000"/>
          <w:sz w:val="22"/>
          <w:szCs w:val="22"/>
        </w:rPr>
      </w:pPr>
    </w:p>
    <w:p w14:paraId="57D4D16B" w14:textId="1ACC3369"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visitantes deben entrar acompañados con la(s) persona(s) de la Dirección, la(s) cual(es) será(n) la(s) responsable(s) de las actividades que estos realicen en las instalaciones</w:t>
      </w:r>
    </w:p>
    <w:p w14:paraId="1A72DC60"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Se prohíbe el acceso a personal no autorizado a las instalaciones de la DGCPTN (funcionarios, vendedores o personal externo no autorizado)</w:t>
      </w:r>
    </w:p>
    <w:p w14:paraId="3098E84C"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Todos los funcionarios deben tramitar ante el administrador de usuarios de la DGCPTN, la desactivación y activación de las tarjetas de ingresos por concepto de ingresos, retiros, traslados, vacaciones, incapacidades, licencias y/o permisos</w:t>
      </w:r>
    </w:p>
    <w:p w14:paraId="75146C6B" w14:textId="77777777" w:rsidR="0084542F" w:rsidRPr="004439D0" w:rsidRDefault="0084542F" w:rsidP="00992EC7">
      <w:pPr>
        <w:spacing w:line="276" w:lineRule="auto"/>
        <w:contextualSpacing/>
        <w:jc w:val="both"/>
        <w:rPr>
          <w:rFonts w:ascii="Verdana" w:hAnsi="Verdana" w:cs="Helvetica"/>
          <w:color w:val="000000"/>
          <w:sz w:val="22"/>
          <w:szCs w:val="22"/>
        </w:rPr>
      </w:pPr>
    </w:p>
    <w:p w14:paraId="2B9049A5"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Queda prohibido el préstamo de las tarjetas de aproximación, para el desplazamiento en las dependencias de la DGCPTN</w:t>
      </w:r>
    </w:p>
    <w:p w14:paraId="596613AF" w14:textId="77777777" w:rsidR="0084542F" w:rsidRPr="004439D0" w:rsidRDefault="0084542F" w:rsidP="00992EC7">
      <w:pPr>
        <w:spacing w:line="276" w:lineRule="auto"/>
        <w:contextualSpacing/>
        <w:jc w:val="both"/>
        <w:rPr>
          <w:rFonts w:ascii="Verdana" w:hAnsi="Verdana" w:cs="Helvetica"/>
          <w:color w:val="000000"/>
          <w:sz w:val="22"/>
          <w:szCs w:val="22"/>
        </w:rPr>
      </w:pPr>
    </w:p>
    <w:p w14:paraId="3C0E0B1F"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Todos los funcionarios deben tramitar ante el administrador de usuarios de los sistemas de información de la DGCPTN la respectiva habilitación, modificación y deshabilitación para los ingresos, retiros, traslados, vacaciones, incapacidades, licencias y/o permisos, siguiendo el procedimiento establecido en los formatos diseñados para cada uno de los sistemas de información, registrando el tipo de la novedad</w:t>
      </w:r>
    </w:p>
    <w:p w14:paraId="01CD8958" w14:textId="77777777" w:rsidR="0084542F" w:rsidRPr="004439D0" w:rsidRDefault="0084542F" w:rsidP="00992EC7">
      <w:pPr>
        <w:spacing w:line="276" w:lineRule="auto"/>
        <w:contextualSpacing/>
        <w:jc w:val="both"/>
        <w:rPr>
          <w:rFonts w:ascii="Verdana" w:hAnsi="Verdana" w:cs="Helvetica"/>
          <w:color w:val="000000"/>
          <w:sz w:val="22"/>
          <w:szCs w:val="22"/>
        </w:rPr>
      </w:pPr>
    </w:p>
    <w:p w14:paraId="451AA9B8"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Las contraseñas tendrán una vigencia máxima de un año, contado a partir de la fecha de la solicitud, para tal efecto, el usuario efectuará el respectivo cambio antes del vencimiento del término, de acuerdo con los formatos establecidos</w:t>
      </w:r>
    </w:p>
    <w:p w14:paraId="2AEDCCE4" w14:textId="77777777" w:rsidR="0084542F" w:rsidRPr="004439D0" w:rsidRDefault="0084542F" w:rsidP="00992EC7">
      <w:pPr>
        <w:spacing w:line="276" w:lineRule="auto"/>
        <w:contextualSpacing/>
        <w:jc w:val="both"/>
        <w:rPr>
          <w:rFonts w:ascii="Verdana" w:hAnsi="Verdana" w:cs="Helvetica"/>
          <w:color w:val="000000"/>
          <w:sz w:val="22"/>
          <w:szCs w:val="22"/>
        </w:rPr>
      </w:pPr>
    </w:p>
    <w:p w14:paraId="7FDA1786"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El manejo de las contraseñas es de naturaleza privada y exclusiva del funcionario autorizado. No podrá ser divulgada, compartida, ni cedida, sin importar la jerarquía de la persona que la solicite</w:t>
      </w:r>
    </w:p>
    <w:p w14:paraId="6CC56191" w14:textId="77777777" w:rsidR="0084542F" w:rsidRPr="004439D0" w:rsidRDefault="0084542F" w:rsidP="00992EC7">
      <w:pPr>
        <w:spacing w:line="276" w:lineRule="auto"/>
        <w:contextualSpacing/>
        <w:jc w:val="both"/>
        <w:rPr>
          <w:rFonts w:ascii="Verdana" w:hAnsi="Verdana" w:cs="Helvetica"/>
          <w:color w:val="000000"/>
          <w:sz w:val="22"/>
          <w:szCs w:val="22"/>
        </w:rPr>
      </w:pPr>
    </w:p>
    <w:p w14:paraId="6B3CFB79"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Todo acceso y perfil requerido para un funcionario de la DGCPTN, deberá corresponder con las funciones y labores que esté desarrollando el usuario</w:t>
      </w:r>
    </w:p>
    <w:p w14:paraId="1D883E48" w14:textId="77777777" w:rsidR="0084542F" w:rsidRPr="004439D0" w:rsidRDefault="0084542F" w:rsidP="00992EC7">
      <w:pPr>
        <w:spacing w:line="276" w:lineRule="auto"/>
        <w:contextualSpacing/>
        <w:jc w:val="both"/>
        <w:rPr>
          <w:rFonts w:ascii="Verdana" w:hAnsi="Verdana" w:cs="Helvetica"/>
          <w:color w:val="000000"/>
          <w:sz w:val="22"/>
          <w:szCs w:val="22"/>
        </w:rPr>
      </w:pPr>
    </w:p>
    <w:p w14:paraId="0ECA043C"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Todo acceso y perfil definido por un área de la DGCPTN deberá contemplar un usuario principal (quien realiza diariamente la actividad) y dos </w:t>
      </w:r>
      <w:r w:rsidRPr="004439D0">
        <w:rPr>
          <w:rFonts w:ascii="Verdana" w:hAnsi="Verdana" w:cs="Helvetica"/>
          <w:i/>
          <w:color w:val="000000"/>
          <w:sz w:val="22"/>
          <w:szCs w:val="22"/>
        </w:rPr>
        <w:t>backup</w:t>
      </w:r>
      <w:r w:rsidRPr="004439D0">
        <w:rPr>
          <w:rFonts w:ascii="Verdana" w:hAnsi="Verdana" w:cs="Helvetica"/>
          <w:color w:val="000000"/>
          <w:sz w:val="22"/>
          <w:szCs w:val="22"/>
        </w:rPr>
        <w:t xml:space="preserve"> en caso que el usuario principal NO pueda realizar la labor, a quien se realizará previamente la inducción correspondiente</w:t>
      </w:r>
    </w:p>
    <w:p w14:paraId="77112E7C" w14:textId="77777777" w:rsidR="0084542F" w:rsidRPr="004439D0" w:rsidRDefault="0084542F" w:rsidP="00992EC7">
      <w:pPr>
        <w:spacing w:line="276" w:lineRule="auto"/>
        <w:contextualSpacing/>
        <w:jc w:val="both"/>
        <w:rPr>
          <w:rFonts w:ascii="Verdana" w:hAnsi="Verdana" w:cs="Helvetica"/>
          <w:color w:val="000000"/>
          <w:sz w:val="22"/>
          <w:szCs w:val="22"/>
        </w:rPr>
      </w:pPr>
    </w:p>
    <w:p w14:paraId="69315031"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Las contraseñas deben ser memorizadas, sin dejar evidencia escrita de las mismas por cuanto la responsabilidad de su utilización indebida o no, recaerá en el funcionario titular, quien responderá legal y disciplinariamente por su utilización</w:t>
      </w:r>
    </w:p>
    <w:p w14:paraId="23DE5F77" w14:textId="77777777" w:rsidR="0084542F" w:rsidRPr="004439D0" w:rsidRDefault="0084542F" w:rsidP="00992EC7">
      <w:pPr>
        <w:spacing w:line="276" w:lineRule="auto"/>
        <w:contextualSpacing/>
        <w:jc w:val="both"/>
        <w:rPr>
          <w:rFonts w:ascii="Verdana" w:hAnsi="Verdana" w:cs="Helvetica"/>
          <w:color w:val="000000"/>
          <w:sz w:val="22"/>
          <w:szCs w:val="22"/>
        </w:rPr>
      </w:pPr>
    </w:p>
    <w:p w14:paraId="25010EC8" w14:textId="5694B43C"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Toda novedad de habilitación, deshabilitación y/o modificación del perfil de un usuario a un aplicativo, deberá solicitarse por el área usuaria al administrador de usuarios de la DGCPTN indicando el tipo de novedad</w:t>
      </w:r>
      <w:r w:rsidR="004E4AB7" w:rsidRPr="004439D0">
        <w:rPr>
          <w:rFonts w:ascii="Verdana" w:hAnsi="Verdana" w:cs="Helvetica"/>
          <w:color w:val="000000"/>
          <w:sz w:val="22"/>
          <w:szCs w:val="22"/>
        </w:rPr>
        <w:t>.</w:t>
      </w:r>
    </w:p>
    <w:p w14:paraId="34A0CB20"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Cada novedad debe ser aprobada por el Jefe Inmediato, con visto bueno del subdirector correspondiente. Para los subdirectores y/o coordinadores que dependan del despacho de la Dirección, dicha novedad debe ser aprobada por el Director General de Crédito Público y Tesoro Nacional</w:t>
      </w:r>
    </w:p>
    <w:p w14:paraId="179D5482" w14:textId="77777777" w:rsidR="0084542F" w:rsidRPr="004439D0" w:rsidRDefault="0084542F" w:rsidP="00992EC7">
      <w:pPr>
        <w:spacing w:line="276" w:lineRule="auto"/>
        <w:ind w:left="360"/>
        <w:contextualSpacing/>
        <w:jc w:val="both"/>
        <w:rPr>
          <w:rFonts w:ascii="Verdana" w:hAnsi="Verdana" w:cs="Helvetica"/>
          <w:color w:val="000000"/>
          <w:sz w:val="22"/>
          <w:szCs w:val="22"/>
        </w:rPr>
      </w:pPr>
    </w:p>
    <w:p w14:paraId="09BFB674"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Todos los funcionarios deben preparar un instructivo que contenga de forma clara las actividades que desarrolla en cumplimiento de sus funciones, y deberá capacitar a los funcionarios que servirán como </w:t>
      </w:r>
      <w:r w:rsidRPr="004439D0">
        <w:rPr>
          <w:rFonts w:ascii="Verdana" w:hAnsi="Verdana" w:cs="Helvetica"/>
          <w:i/>
          <w:color w:val="000000"/>
          <w:sz w:val="22"/>
          <w:szCs w:val="22"/>
        </w:rPr>
        <w:t>backup</w:t>
      </w:r>
      <w:r w:rsidRPr="004439D0">
        <w:rPr>
          <w:rFonts w:ascii="Verdana" w:hAnsi="Verdana" w:cs="Helvetica"/>
          <w:color w:val="000000"/>
          <w:sz w:val="22"/>
          <w:szCs w:val="22"/>
        </w:rPr>
        <w:t xml:space="preserve"> de sus funciones, antes del inicio de cada situación administrativa, salida de vacaciones y por lo menos una vez cada semestre</w:t>
      </w:r>
    </w:p>
    <w:p w14:paraId="1AC72E99" w14:textId="77777777" w:rsidR="0084542F" w:rsidRPr="004439D0" w:rsidRDefault="0084542F" w:rsidP="00992EC7">
      <w:pPr>
        <w:spacing w:line="276" w:lineRule="auto"/>
        <w:contextualSpacing/>
        <w:jc w:val="both"/>
        <w:rPr>
          <w:rFonts w:ascii="Verdana" w:hAnsi="Verdana" w:cs="Helvetica"/>
          <w:color w:val="000000"/>
          <w:sz w:val="22"/>
          <w:szCs w:val="22"/>
        </w:rPr>
      </w:pPr>
    </w:p>
    <w:p w14:paraId="66536EBC" w14:textId="77777777" w:rsidR="0084542F" w:rsidRPr="004439D0" w:rsidRDefault="0084542F" w:rsidP="00FC7D4F">
      <w:pPr>
        <w:pStyle w:val="Prrafodelista"/>
        <w:numPr>
          <w:ilvl w:val="0"/>
          <w:numId w:val="20"/>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Todos los funcionarios deben tener definido dos </w:t>
      </w:r>
      <w:r w:rsidRPr="004439D0">
        <w:rPr>
          <w:rFonts w:ascii="Verdana" w:hAnsi="Verdana" w:cs="Helvetica"/>
          <w:i/>
          <w:color w:val="000000"/>
          <w:sz w:val="22"/>
          <w:szCs w:val="22"/>
        </w:rPr>
        <w:t>backup</w:t>
      </w:r>
      <w:r w:rsidRPr="004439D0">
        <w:rPr>
          <w:rFonts w:ascii="Verdana" w:hAnsi="Verdana" w:cs="Helvetica"/>
          <w:color w:val="000000"/>
          <w:sz w:val="22"/>
          <w:szCs w:val="22"/>
        </w:rPr>
        <w:t xml:space="preserve"> y servir de </w:t>
      </w:r>
      <w:r w:rsidRPr="004439D0">
        <w:rPr>
          <w:rFonts w:ascii="Verdana" w:hAnsi="Verdana" w:cs="Helvetica"/>
          <w:i/>
          <w:color w:val="000000"/>
          <w:sz w:val="22"/>
          <w:szCs w:val="22"/>
        </w:rPr>
        <w:t>backup</w:t>
      </w:r>
      <w:r w:rsidRPr="004439D0">
        <w:rPr>
          <w:rFonts w:ascii="Verdana" w:hAnsi="Verdana" w:cs="Helvetica"/>
          <w:color w:val="000000"/>
          <w:sz w:val="22"/>
          <w:szCs w:val="22"/>
        </w:rPr>
        <w:t xml:space="preserve"> de acuerdo a las funciones que realizan, las funciones de respaldo, no pueden generar un posible conflicto de interés, o ningún tipo de concentración de funciones.</w:t>
      </w:r>
    </w:p>
    <w:p w14:paraId="29CC0341" w14:textId="77777777" w:rsidR="0084542F" w:rsidRPr="004439D0" w:rsidRDefault="0084542F" w:rsidP="00992EC7">
      <w:pPr>
        <w:pStyle w:val="Prrafodelista"/>
        <w:spacing w:line="276" w:lineRule="auto"/>
        <w:jc w:val="both"/>
        <w:rPr>
          <w:rFonts w:ascii="Verdana" w:hAnsi="Verdana" w:cs="Helvetica"/>
          <w:color w:val="000000"/>
          <w:sz w:val="22"/>
          <w:szCs w:val="22"/>
        </w:rPr>
      </w:pPr>
    </w:p>
    <w:p w14:paraId="12A5B01B" w14:textId="77777777" w:rsidR="0084542F" w:rsidRPr="004439D0" w:rsidRDefault="0084542F" w:rsidP="00FC7D4F">
      <w:pPr>
        <w:pStyle w:val="Ttulo3"/>
        <w:numPr>
          <w:ilvl w:val="1"/>
          <w:numId w:val="24"/>
        </w:numPr>
        <w:jc w:val="both"/>
        <w:rPr>
          <w:rFonts w:ascii="Verdana" w:hAnsi="Verdana" w:cs="Helvetica"/>
          <w:b/>
          <w:bCs/>
          <w:sz w:val="22"/>
          <w:szCs w:val="22"/>
        </w:rPr>
      </w:pPr>
      <w:bookmarkStart w:id="58" w:name="_Toc507771252"/>
      <w:bookmarkStart w:id="59" w:name="_Toc4590629"/>
      <w:bookmarkStart w:id="60" w:name="_Toc155883048"/>
      <w:r w:rsidRPr="004439D0">
        <w:rPr>
          <w:rFonts w:ascii="Verdana" w:hAnsi="Verdana" w:cs="Helvetica"/>
          <w:b/>
          <w:bCs/>
          <w:sz w:val="22"/>
          <w:szCs w:val="22"/>
        </w:rPr>
        <w:t>Política de Seguridad de la Información</w:t>
      </w:r>
      <w:bookmarkEnd w:id="58"/>
      <w:bookmarkEnd w:id="59"/>
      <w:bookmarkEnd w:id="60"/>
    </w:p>
    <w:p w14:paraId="7961A6F7" w14:textId="77777777" w:rsidR="0084542F" w:rsidRPr="004439D0" w:rsidRDefault="0084542F" w:rsidP="00992EC7">
      <w:pPr>
        <w:spacing w:line="276" w:lineRule="auto"/>
        <w:jc w:val="both"/>
        <w:rPr>
          <w:rFonts w:ascii="Verdana" w:hAnsi="Verdana" w:cs="Helvetica"/>
          <w:sz w:val="22"/>
          <w:szCs w:val="22"/>
        </w:rPr>
      </w:pPr>
    </w:p>
    <w:p w14:paraId="324F438C"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 xml:space="preserve">La Política de Seguridad de la Información al interior del Ministerio requiere que todos los sistemas de la entidad sean formalmente evaluados con relación a los requerimientos de </w:t>
      </w:r>
      <w:r w:rsidRPr="004439D0">
        <w:rPr>
          <w:rFonts w:ascii="Verdana" w:hAnsi="Verdana" w:cs="Helvetica"/>
          <w:i/>
          <w:color w:val="000000"/>
          <w:sz w:val="22"/>
          <w:szCs w:val="22"/>
        </w:rPr>
        <w:t>integridad, confidencialidad, disponibilidad y continuidad</w:t>
      </w:r>
      <w:r w:rsidRPr="004439D0">
        <w:rPr>
          <w:rFonts w:ascii="Verdana" w:hAnsi="Verdana" w:cs="Helvetica"/>
          <w:color w:val="000000"/>
          <w:sz w:val="22"/>
          <w:szCs w:val="22"/>
        </w:rPr>
        <w:t>. Deben establecerse arreglos de continuidad acorde con el nivel de riesgo inherente en cada sistema. Es responsabilidad de cada subdirector de área velar por la correcta implementación de medidas de seguridad de la información dentro de sus respectivas áreas</w:t>
      </w:r>
    </w:p>
    <w:p w14:paraId="25DF2867" w14:textId="77777777" w:rsidR="0084542F" w:rsidRPr="004439D0" w:rsidRDefault="0084542F" w:rsidP="00992EC7">
      <w:pPr>
        <w:spacing w:line="276" w:lineRule="auto"/>
        <w:contextualSpacing/>
        <w:jc w:val="both"/>
        <w:rPr>
          <w:rFonts w:ascii="Verdana" w:hAnsi="Verdana" w:cs="Helvetica"/>
          <w:color w:val="000000"/>
          <w:sz w:val="22"/>
          <w:szCs w:val="22"/>
        </w:rPr>
      </w:pPr>
    </w:p>
    <w:p w14:paraId="7D1DC963"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 confidencialidad de la información del Ministerio de Hacienda y de los clientes o contrapartes (incluyendo información confidencial interna) es protegida a través de una combinación de códigos, políticas y medios físicos, organizacionales y tecnológicos, tales como candados, contraseñas, controles de acceso y encriptación de archivos</w:t>
      </w:r>
    </w:p>
    <w:p w14:paraId="7AC3D039" w14:textId="77777777" w:rsidR="0084542F" w:rsidRPr="004439D0" w:rsidRDefault="0084542F" w:rsidP="00992EC7">
      <w:pPr>
        <w:spacing w:line="276" w:lineRule="auto"/>
        <w:contextualSpacing/>
        <w:jc w:val="both"/>
        <w:rPr>
          <w:rFonts w:ascii="Verdana" w:hAnsi="Verdana" w:cs="Helvetica"/>
          <w:color w:val="000000"/>
          <w:sz w:val="22"/>
          <w:szCs w:val="22"/>
        </w:rPr>
      </w:pPr>
    </w:p>
    <w:p w14:paraId="45182540"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Dar estricto cumplimiento al trámite de habilitación, modificación y des habilitación de los usuarios a los diferentes aplicativos, para lo cual deben tramitar ante los correspondientes Administradores la respectiva habilitación, modificación y des habilitación por concepto de ingresos, retiros, traslados, vacaciones, incapacidades, licencias y/o permisos, siguiendo el procedimiento establecido en los formatos diseñados para cada uno de los Sistemas registrando el tipo de la novedad</w:t>
      </w:r>
    </w:p>
    <w:p w14:paraId="746EA798" w14:textId="77777777" w:rsidR="0084542F" w:rsidRPr="004439D0" w:rsidRDefault="0084542F" w:rsidP="00992EC7">
      <w:pPr>
        <w:spacing w:line="276" w:lineRule="auto"/>
        <w:contextualSpacing/>
        <w:jc w:val="both"/>
        <w:rPr>
          <w:rFonts w:ascii="Verdana" w:hAnsi="Verdana" w:cs="Helvetica"/>
          <w:color w:val="000000"/>
          <w:sz w:val="22"/>
          <w:szCs w:val="22"/>
        </w:rPr>
      </w:pPr>
    </w:p>
    <w:p w14:paraId="54207006"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Las contraseñas tendrán una vigencia máxima de un año contado a partir de la fecha de la solicitud. Para tal efecto, el usuario efectuará el respectivo cambio antes del vencimiento de este término</w:t>
      </w:r>
    </w:p>
    <w:p w14:paraId="7B766F1E" w14:textId="77777777" w:rsidR="0084542F" w:rsidRPr="004439D0" w:rsidRDefault="0084542F" w:rsidP="00992EC7">
      <w:pPr>
        <w:spacing w:line="276" w:lineRule="auto"/>
        <w:ind w:left="360"/>
        <w:contextualSpacing/>
        <w:jc w:val="both"/>
        <w:rPr>
          <w:rFonts w:ascii="Verdana" w:hAnsi="Verdana" w:cs="Helvetica"/>
          <w:color w:val="000000"/>
          <w:sz w:val="22"/>
          <w:szCs w:val="22"/>
        </w:rPr>
      </w:pPr>
    </w:p>
    <w:p w14:paraId="0991C30B"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El manejo de las contraseñas es de naturaleza privada y exclusiva del funcionario autorizado. No podrá ser divulgada, compartida, ni cedida, sin importar la jerarquía de la persona que la solicite</w:t>
      </w:r>
    </w:p>
    <w:p w14:paraId="37F43B43" w14:textId="77777777" w:rsidR="0084542F" w:rsidRPr="004439D0" w:rsidRDefault="0084542F" w:rsidP="00992EC7">
      <w:pPr>
        <w:spacing w:line="276" w:lineRule="auto"/>
        <w:contextualSpacing/>
        <w:jc w:val="both"/>
        <w:rPr>
          <w:rFonts w:ascii="Verdana" w:hAnsi="Verdana" w:cs="Helvetica"/>
          <w:color w:val="000000"/>
          <w:sz w:val="22"/>
          <w:szCs w:val="22"/>
        </w:rPr>
      </w:pPr>
    </w:p>
    <w:p w14:paraId="2F925102"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Todos los usuarios deben ser identificados independientemente con permisos de accesos específicos e individualmente autorizados por razones básicas de la función misional con sus respectivas atribuciones; esta autorización debe estar basada en los principios del “</w:t>
      </w:r>
      <w:r w:rsidRPr="004439D0">
        <w:rPr>
          <w:rFonts w:ascii="Verdana" w:hAnsi="Verdana" w:cs="Helvetica"/>
          <w:i/>
          <w:color w:val="000000"/>
          <w:sz w:val="22"/>
          <w:szCs w:val="22"/>
        </w:rPr>
        <w:t>need-to-know</w:t>
      </w:r>
      <w:r w:rsidRPr="004439D0">
        <w:rPr>
          <w:rFonts w:ascii="Verdana" w:hAnsi="Verdana" w:cs="Helvetica"/>
          <w:color w:val="000000"/>
          <w:sz w:val="22"/>
          <w:szCs w:val="22"/>
        </w:rPr>
        <w:t>” (necesidad de saber) y “</w:t>
      </w:r>
      <w:r w:rsidRPr="004439D0">
        <w:rPr>
          <w:rFonts w:ascii="Verdana" w:hAnsi="Verdana" w:cs="Helvetica"/>
          <w:i/>
          <w:color w:val="000000"/>
          <w:sz w:val="22"/>
          <w:szCs w:val="22"/>
        </w:rPr>
        <w:t>least privilege</w:t>
      </w:r>
      <w:r w:rsidRPr="004439D0">
        <w:rPr>
          <w:rFonts w:ascii="Verdana" w:hAnsi="Verdana" w:cs="Helvetica"/>
          <w:color w:val="000000"/>
          <w:sz w:val="22"/>
          <w:szCs w:val="22"/>
        </w:rPr>
        <w:t>” (menor privilegio). Los métodos de acceso de usuarios deben exigir un proceso robusto de autenticación, autorización apropiada y auditoria confiable</w:t>
      </w:r>
    </w:p>
    <w:p w14:paraId="1B3A8123" w14:textId="77777777" w:rsidR="0084542F" w:rsidRPr="004439D0" w:rsidRDefault="0084542F" w:rsidP="00992EC7">
      <w:pPr>
        <w:spacing w:line="276" w:lineRule="auto"/>
        <w:contextualSpacing/>
        <w:jc w:val="both"/>
        <w:rPr>
          <w:rFonts w:ascii="Verdana" w:hAnsi="Verdana" w:cs="Helvetica"/>
          <w:color w:val="000000"/>
          <w:sz w:val="22"/>
          <w:szCs w:val="22"/>
        </w:rPr>
      </w:pPr>
    </w:p>
    <w:p w14:paraId="2E78D32A"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Todo acceso y perfil definido por un área de la DGCPTN deberá contemplar un usuario principal (quien realiza diariamente la actividad) y un backup en caso que el usuario principal no pueda realizar dicha labor previa inducción</w:t>
      </w:r>
    </w:p>
    <w:p w14:paraId="6C49B59E" w14:textId="77777777" w:rsidR="0084542F" w:rsidRPr="004439D0" w:rsidRDefault="0084542F" w:rsidP="00992EC7">
      <w:pPr>
        <w:spacing w:line="276" w:lineRule="auto"/>
        <w:contextualSpacing/>
        <w:jc w:val="both"/>
        <w:rPr>
          <w:rFonts w:ascii="Verdana" w:hAnsi="Verdana" w:cs="Helvetica"/>
          <w:color w:val="000000"/>
          <w:sz w:val="22"/>
          <w:szCs w:val="22"/>
        </w:rPr>
      </w:pPr>
    </w:p>
    <w:p w14:paraId="62C9538D"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Toda novedad de habilitación, deshabilitación y/o modificación del perfil de un usuario a un aplicativo, deberá solicitarse por el área usuaria al administrador del sistema, indicando el tipo de novedad. Dicha novedad deberá ser aprobada por el jefe Inmediato, visto bueno del subdirector correspondiente. Para los subdirectores y/o coordinadores que dependan del Despacho, la novedad debe ser aprobada por la DGCPTN</w:t>
      </w:r>
    </w:p>
    <w:p w14:paraId="60972A74" w14:textId="77777777" w:rsidR="0084542F" w:rsidRPr="004439D0" w:rsidRDefault="0084542F" w:rsidP="00992EC7">
      <w:pPr>
        <w:spacing w:line="276" w:lineRule="auto"/>
        <w:contextualSpacing/>
        <w:jc w:val="both"/>
        <w:rPr>
          <w:rFonts w:ascii="Verdana" w:hAnsi="Verdana" w:cs="Helvetica"/>
          <w:color w:val="000000"/>
          <w:sz w:val="22"/>
          <w:szCs w:val="22"/>
        </w:rPr>
      </w:pPr>
    </w:p>
    <w:p w14:paraId="22448301"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 información debe ser protegida con el nivel necesario en proporción a su valor y el riesgo para la función misional. La protección debe concentrarse en las propiedades de confidencialidad, integridad y disponibilidad de la información</w:t>
      </w:r>
    </w:p>
    <w:p w14:paraId="39626F31" w14:textId="77777777" w:rsidR="0084542F" w:rsidRPr="004439D0" w:rsidRDefault="0084542F" w:rsidP="00992EC7">
      <w:pPr>
        <w:spacing w:line="276" w:lineRule="auto"/>
        <w:contextualSpacing/>
        <w:jc w:val="both"/>
        <w:rPr>
          <w:rFonts w:ascii="Verdana" w:hAnsi="Verdana" w:cs="Helvetica"/>
          <w:color w:val="000000"/>
          <w:sz w:val="22"/>
          <w:szCs w:val="22"/>
        </w:rPr>
      </w:pPr>
    </w:p>
    <w:p w14:paraId="10507CA0"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recursos tecnológicos deben ser protegidos con el nivel necesario en proporción a su valor y el riesgo para la función misional. Dichos recursos deben ser utilizados exclusivamente para desarrollar las actividades laborales de los funcionarios y terceras partes; esta utilización debe hacerse en forma adecuada, con el máximo de eficiencia y con ejemplar racionalidad</w:t>
      </w:r>
    </w:p>
    <w:p w14:paraId="29E78357" w14:textId="171EB303"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usuarios, dueños y custodios de los activos de información del MHCP son responsables por el uso apropiado, protección y privacidad de estos activos. Los sistemas de información del MHCP deben generar y mantener pistas apropiadas de auditoría para identificar usuarios y documentar los eventos relacionados con incidentes de seguridad</w:t>
      </w:r>
    </w:p>
    <w:p w14:paraId="408FA831" w14:textId="77777777" w:rsidR="00310615" w:rsidRPr="004439D0" w:rsidRDefault="00310615" w:rsidP="00310615">
      <w:pPr>
        <w:pStyle w:val="Prrafodelista"/>
        <w:rPr>
          <w:rFonts w:ascii="Verdana" w:hAnsi="Verdana" w:cs="Helvetica"/>
          <w:color w:val="000000"/>
          <w:sz w:val="22"/>
          <w:szCs w:val="22"/>
        </w:rPr>
      </w:pPr>
    </w:p>
    <w:p w14:paraId="31A66D42"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Para que la seguridad de la información sea efectiva, se requiere el esfuerzo de equipo, donde deben participar en forma activa todos los funcionarios que tengan interacción con los activos de la información de la entidad. Todos los funcionarios y terceras partes deben cumplir con las políticas de seguridad de la información y, además, desempeñar un papel activo para su comprensión, entendimiento y divulgación</w:t>
      </w:r>
    </w:p>
    <w:p w14:paraId="58BA4FD9" w14:textId="77777777" w:rsidR="0084542F" w:rsidRPr="004439D0" w:rsidRDefault="0084542F" w:rsidP="00992EC7">
      <w:pPr>
        <w:spacing w:line="276" w:lineRule="auto"/>
        <w:ind w:left="360"/>
        <w:contextualSpacing/>
        <w:jc w:val="both"/>
        <w:rPr>
          <w:rFonts w:ascii="Verdana" w:hAnsi="Verdana" w:cs="Helvetica"/>
          <w:color w:val="000000"/>
          <w:sz w:val="22"/>
          <w:szCs w:val="22"/>
        </w:rPr>
      </w:pPr>
    </w:p>
    <w:p w14:paraId="7E960D9F"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En forma periódica la DGCPTN debe efectuar las revisiones necesarias para evaluar el cumplimiento de las diferentes políticas de seguridad. Esta tarea debe ser realizada por la Subdirección de Riesgo</w:t>
      </w:r>
    </w:p>
    <w:p w14:paraId="5D958C23" w14:textId="77777777" w:rsidR="0084542F" w:rsidRPr="004439D0" w:rsidRDefault="0084542F" w:rsidP="00992EC7">
      <w:pPr>
        <w:spacing w:line="276" w:lineRule="auto"/>
        <w:contextualSpacing/>
        <w:jc w:val="both"/>
        <w:rPr>
          <w:rFonts w:ascii="Verdana" w:hAnsi="Verdana" w:cs="Helvetica"/>
          <w:color w:val="000000"/>
          <w:sz w:val="22"/>
          <w:szCs w:val="22"/>
        </w:rPr>
      </w:pPr>
    </w:p>
    <w:p w14:paraId="4D2E12D3"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El uso indebido de la información que los funcionarios conocen o administran es una falta grave sujeta a las sanciones disciplinarias y/o legales que surjan de su utilización. La información soportada por la infraestructura de tecnología informática del MHCP pertenece a la entidad, a menos que en una relación contractual se establezca lo contrario. Sin embargo, la facultad de otorgar acceso a la información es del responsable de la dependencia que genera o es propietaria de esta información</w:t>
      </w:r>
    </w:p>
    <w:p w14:paraId="7B950902" w14:textId="77777777" w:rsidR="0084542F" w:rsidRPr="004439D0" w:rsidRDefault="0084542F" w:rsidP="00992EC7">
      <w:pPr>
        <w:spacing w:line="276" w:lineRule="auto"/>
        <w:contextualSpacing/>
        <w:jc w:val="both"/>
        <w:rPr>
          <w:rFonts w:ascii="Verdana" w:hAnsi="Verdana" w:cs="Helvetica"/>
          <w:color w:val="000000"/>
          <w:sz w:val="22"/>
          <w:szCs w:val="22"/>
        </w:rPr>
      </w:pPr>
    </w:p>
    <w:p w14:paraId="1F878232"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La información propiedad del MHCP y sobre la cual tiene sus derechos, podrá ser suministrada a los entes de control pertinentes cuando estos lo requieran, con previa autorización expresa y aprobada para estos fines por las directivas de la entidad</w:t>
      </w:r>
    </w:p>
    <w:p w14:paraId="2C9A845E" w14:textId="77777777" w:rsidR="0084542F" w:rsidRPr="004439D0" w:rsidRDefault="0084542F" w:rsidP="00992EC7">
      <w:pPr>
        <w:spacing w:line="276" w:lineRule="auto"/>
        <w:contextualSpacing/>
        <w:jc w:val="both"/>
        <w:rPr>
          <w:rFonts w:ascii="Verdana" w:hAnsi="Verdana" w:cs="Helvetica"/>
          <w:color w:val="000000"/>
          <w:sz w:val="22"/>
          <w:szCs w:val="22"/>
        </w:rPr>
      </w:pPr>
    </w:p>
    <w:p w14:paraId="3ED4D993"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Para efectos de control del flujo de la información de los procesos de la entidad, se asignarán responsables de la información, quienes deben asegurar y otorgar acceso a la información que genere su dependencia, con el fin de lograr un adecuado ambiente de control y de segregación de funciones</w:t>
      </w:r>
    </w:p>
    <w:p w14:paraId="06ABA490" w14:textId="77777777" w:rsidR="0084542F" w:rsidRPr="004439D0" w:rsidRDefault="0084542F" w:rsidP="00992EC7">
      <w:pPr>
        <w:spacing w:line="276" w:lineRule="auto"/>
        <w:contextualSpacing/>
        <w:jc w:val="both"/>
        <w:rPr>
          <w:rFonts w:ascii="Verdana" w:hAnsi="Verdana" w:cs="Helvetica"/>
          <w:color w:val="000000"/>
          <w:sz w:val="22"/>
          <w:szCs w:val="22"/>
        </w:rPr>
      </w:pPr>
    </w:p>
    <w:p w14:paraId="01D4D8B8"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En caso de divulgación no autorizada de la información de propiedad del MHCP, se realizarán las investigaciones pertinentes para establecer las responsabilidades del caso y proceder conforme lo establece para estos casos la normatividad y los procedimientos del MHCP.</w:t>
      </w:r>
    </w:p>
    <w:p w14:paraId="5D8ACB5B" w14:textId="77777777" w:rsidR="0084542F" w:rsidRPr="004439D0" w:rsidRDefault="0084542F" w:rsidP="00992EC7">
      <w:pPr>
        <w:spacing w:line="276" w:lineRule="auto"/>
        <w:contextualSpacing/>
        <w:jc w:val="both"/>
        <w:rPr>
          <w:rFonts w:ascii="Verdana" w:hAnsi="Verdana" w:cs="Helvetica"/>
          <w:color w:val="000000"/>
          <w:sz w:val="22"/>
          <w:szCs w:val="22"/>
        </w:rPr>
      </w:pPr>
    </w:p>
    <w:p w14:paraId="30A84AF6"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sz w:val="22"/>
          <w:szCs w:val="22"/>
        </w:rPr>
        <w:t>Por cada incumplimiento de las políticas aquí definidas, se dará traslado a la Oficina de Control Disciplinario Interno, con el propósito de que se inicien las acciones disciplinarias correspondientes.</w:t>
      </w:r>
    </w:p>
    <w:p w14:paraId="0579FEC9" w14:textId="77777777" w:rsidR="0084542F" w:rsidRPr="004439D0" w:rsidRDefault="0084542F" w:rsidP="00FC7D4F">
      <w:pPr>
        <w:pStyle w:val="Ttulo3"/>
        <w:numPr>
          <w:ilvl w:val="1"/>
          <w:numId w:val="24"/>
        </w:numPr>
        <w:jc w:val="both"/>
        <w:rPr>
          <w:rFonts w:ascii="Verdana" w:hAnsi="Verdana" w:cs="Helvetica"/>
          <w:b/>
          <w:bCs/>
          <w:sz w:val="22"/>
          <w:szCs w:val="22"/>
        </w:rPr>
      </w:pPr>
      <w:bookmarkStart w:id="61" w:name="_Toc507771253"/>
      <w:bookmarkStart w:id="62" w:name="_Toc4590630"/>
      <w:bookmarkStart w:id="63" w:name="_Toc155883049"/>
      <w:r w:rsidRPr="004439D0">
        <w:rPr>
          <w:rFonts w:ascii="Verdana" w:hAnsi="Verdana" w:cs="Helvetica"/>
          <w:b/>
          <w:bCs/>
          <w:sz w:val="22"/>
          <w:szCs w:val="22"/>
        </w:rPr>
        <w:t>Política de Prevención de Fraude y Corrupción</w:t>
      </w:r>
      <w:bookmarkEnd w:id="61"/>
      <w:bookmarkEnd w:id="62"/>
      <w:bookmarkEnd w:id="63"/>
    </w:p>
    <w:p w14:paraId="34300C48" w14:textId="77777777" w:rsidR="0084542F" w:rsidRPr="004439D0" w:rsidRDefault="0084542F" w:rsidP="00992EC7">
      <w:pPr>
        <w:pStyle w:val="Prrafodelista"/>
        <w:spacing w:line="276" w:lineRule="auto"/>
        <w:jc w:val="both"/>
        <w:rPr>
          <w:rFonts w:ascii="Verdana" w:hAnsi="Verdana" w:cs="Helvetica"/>
          <w:color w:val="000000"/>
          <w:sz w:val="22"/>
          <w:szCs w:val="22"/>
        </w:rPr>
      </w:pPr>
    </w:p>
    <w:p w14:paraId="325406E4"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En la DGCPTN no se tolera ni el fraude ni la corrupción, por lo tanto, se han adoptado los mecanismos necesarios para evitarlos; mediante la implementación de controles y sistemas para su detección prevención y respuestas oportunas ante tales acciones</w:t>
      </w:r>
    </w:p>
    <w:p w14:paraId="5C991F69"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mecanismos para evitar el fraude y la corrupción están integrados al SARO, comprendiendo que estos están en el marco del factor de riesgo del recurso humano de la DGCPTN</w:t>
      </w:r>
    </w:p>
    <w:p w14:paraId="7956DD07" w14:textId="77777777" w:rsidR="0084542F" w:rsidRPr="004439D0" w:rsidRDefault="0084542F" w:rsidP="00992EC7">
      <w:pPr>
        <w:spacing w:line="276" w:lineRule="auto"/>
        <w:ind w:left="360"/>
        <w:contextualSpacing/>
        <w:jc w:val="both"/>
        <w:rPr>
          <w:rFonts w:ascii="Verdana" w:hAnsi="Verdana" w:cs="Helvetica"/>
          <w:color w:val="000000"/>
          <w:sz w:val="22"/>
          <w:szCs w:val="22"/>
        </w:rPr>
      </w:pPr>
    </w:p>
    <w:p w14:paraId="146A463D" w14:textId="77777777" w:rsidR="0084542F" w:rsidRPr="004439D0" w:rsidRDefault="0084542F" w:rsidP="00FC7D4F">
      <w:pPr>
        <w:pStyle w:val="Prrafodelista"/>
        <w:numPr>
          <w:ilvl w:val="0"/>
          <w:numId w:val="18"/>
        </w:numPr>
        <w:spacing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Los riesgos de fraude y/o corrupción deben ser identificados en todos los procesos de la DGCPTN y deben ser incluidos en el mapa de riesgos del SMGI.</w:t>
      </w:r>
    </w:p>
    <w:p w14:paraId="4C154CD4" w14:textId="77777777" w:rsidR="0084542F" w:rsidRPr="004439D0" w:rsidRDefault="0084542F" w:rsidP="00992EC7">
      <w:pPr>
        <w:spacing w:line="276" w:lineRule="auto"/>
        <w:jc w:val="both"/>
        <w:rPr>
          <w:rFonts w:ascii="Verdana" w:hAnsi="Verdana" w:cs="Helvetica"/>
          <w:sz w:val="22"/>
          <w:szCs w:val="22"/>
        </w:rPr>
      </w:pPr>
    </w:p>
    <w:p w14:paraId="68314378" w14:textId="77777777" w:rsidR="0084542F" w:rsidRPr="004439D0" w:rsidRDefault="0084542F" w:rsidP="00FC7D4F">
      <w:pPr>
        <w:pStyle w:val="Ttulo3"/>
        <w:numPr>
          <w:ilvl w:val="1"/>
          <w:numId w:val="24"/>
        </w:numPr>
        <w:jc w:val="both"/>
        <w:rPr>
          <w:rFonts w:ascii="Verdana" w:hAnsi="Verdana" w:cs="Helvetica"/>
          <w:b/>
          <w:bCs/>
          <w:sz w:val="22"/>
          <w:szCs w:val="22"/>
        </w:rPr>
      </w:pPr>
      <w:bookmarkStart w:id="64" w:name="_Toc507771254"/>
      <w:bookmarkStart w:id="65" w:name="_Toc4590631"/>
      <w:bookmarkStart w:id="66" w:name="_Toc155883050"/>
      <w:r w:rsidRPr="004439D0">
        <w:rPr>
          <w:rFonts w:ascii="Verdana" w:hAnsi="Verdana" w:cs="Helvetica"/>
          <w:b/>
          <w:bCs/>
          <w:sz w:val="22"/>
          <w:szCs w:val="22"/>
        </w:rPr>
        <w:t>Principios de Gestión del Riesgo Operativo</w:t>
      </w:r>
      <w:bookmarkEnd w:id="64"/>
      <w:bookmarkEnd w:id="65"/>
      <w:bookmarkEnd w:id="66"/>
    </w:p>
    <w:p w14:paraId="44F6465C" w14:textId="77777777" w:rsidR="0084542F" w:rsidRPr="004439D0" w:rsidRDefault="0084542F" w:rsidP="00992EC7">
      <w:pPr>
        <w:spacing w:line="276" w:lineRule="auto"/>
        <w:jc w:val="both"/>
        <w:rPr>
          <w:rFonts w:ascii="Verdana" w:hAnsi="Verdana" w:cs="Helvetica"/>
          <w:sz w:val="22"/>
          <w:szCs w:val="22"/>
        </w:rPr>
      </w:pPr>
    </w:p>
    <w:p w14:paraId="36F60340" w14:textId="77777777" w:rsidR="0084542F" w:rsidRPr="004439D0" w:rsidRDefault="0084542F" w:rsidP="00FC7D4F">
      <w:pPr>
        <w:pStyle w:val="Prrafodelista"/>
        <w:numPr>
          <w:ilvl w:val="0"/>
          <w:numId w:val="7"/>
        </w:numPr>
        <w:spacing w:line="276" w:lineRule="auto"/>
        <w:ind w:left="720" w:hanging="360"/>
        <w:contextualSpacing/>
        <w:jc w:val="both"/>
        <w:rPr>
          <w:rFonts w:ascii="Verdana" w:hAnsi="Verdana" w:cs="Helvetica"/>
          <w:color w:val="000000"/>
          <w:sz w:val="22"/>
          <w:szCs w:val="22"/>
        </w:rPr>
      </w:pPr>
      <w:r w:rsidRPr="004439D0">
        <w:rPr>
          <w:rFonts w:ascii="Verdana" w:hAnsi="Verdana" w:cs="Helvetica"/>
          <w:color w:val="000000"/>
          <w:sz w:val="22"/>
          <w:szCs w:val="22"/>
        </w:rPr>
        <w:t>El Riesgo Operativo es parte de las responsabilidades asumidas por los encargados de las direcciones y subdirecciones del Ministerio, de los procesos, de los sistemas y/o de los productos. Es un hecho que debe reflejarse en el seguimiento de los controles, en la concientización de riesgos y en el estilo de gerenciamiento a diario</w:t>
      </w:r>
    </w:p>
    <w:p w14:paraId="16E78133" w14:textId="77777777" w:rsidR="0084542F" w:rsidRPr="004439D0" w:rsidRDefault="0084542F" w:rsidP="00992EC7">
      <w:pPr>
        <w:pStyle w:val="Prrafodelista"/>
        <w:spacing w:line="276" w:lineRule="auto"/>
        <w:ind w:left="709"/>
        <w:contextualSpacing/>
        <w:jc w:val="both"/>
        <w:rPr>
          <w:rFonts w:ascii="Verdana" w:hAnsi="Verdana" w:cs="Helvetica"/>
          <w:color w:val="000000"/>
          <w:sz w:val="22"/>
          <w:szCs w:val="22"/>
        </w:rPr>
      </w:pPr>
    </w:p>
    <w:p w14:paraId="4A5437ED" w14:textId="77777777" w:rsidR="0084542F" w:rsidRPr="004439D0" w:rsidRDefault="0084542F" w:rsidP="00FC7D4F">
      <w:pPr>
        <w:numPr>
          <w:ilvl w:val="0"/>
          <w:numId w:val="8"/>
        </w:numPr>
        <w:spacing w:line="276" w:lineRule="auto"/>
        <w:ind w:left="709" w:hanging="284"/>
        <w:jc w:val="both"/>
        <w:rPr>
          <w:rFonts w:ascii="Verdana" w:hAnsi="Verdana" w:cs="Helvetica"/>
          <w:color w:val="000000"/>
          <w:sz w:val="22"/>
          <w:szCs w:val="22"/>
        </w:rPr>
      </w:pPr>
      <w:r w:rsidRPr="004439D0">
        <w:rPr>
          <w:rFonts w:ascii="Verdana" w:hAnsi="Verdana" w:cs="Helvetica"/>
          <w:color w:val="000000"/>
          <w:sz w:val="22"/>
          <w:szCs w:val="22"/>
        </w:rPr>
        <w:t>Las tareas y responsabilidades de manejo del Riesgo Operativo deben ser acordadas e incluidas en los objetivos de todos los encargados de las áreas, procesos, sistemas y/o productos</w:t>
      </w:r>
    </w:p>
    <w:p w14:paraId="1BF253FE" w14:textId="77777777" w:rsidR="0084542F" w:rsidRPr="004439D0" w:rsidRDefault="0084542F" w:rsidP="00992EC7">
      <w:pPr>
        <w:spacing w:line="276" w:lineRule="auto"/>
        <w:jc w:val="both"/>
        <w:rPr>
          <w:rFonts w:ascii="Verdana" w:hAnsi="Verdana" w:cs="Helvetica"/>
          <w:color w:val="000000"/>
          <w:sz w:val="22"/>
          <w:szCs w:val="22"/>
        </w:rPr>
      </w:pPr>
    </w:p>
    <w:p w14:paraId="3A8D0965" w14:textId="77777777" w:rsidR="0084542F" w:rsidRPr="004439D0" w:rsidRDefault="0084542F" w:rsidP="00FC7D4F">
      <w:pPr>
        <w:numPr>
          <w:ilvl w:val="0"/>
          <w:numId w:val="8"/>
        </w:numPr>
        <w:spacing w:line="276" w:lineRule="auto"/>
        <w:ind w:left="709" w:hanging="284"/>
        <w:jc w:val="both"/>
        <w:rPr>
          <w:rFonts w:ascii="Verdana" w:hAnsi="Verdana" w:cs="Helvetica"/>
          <w:color w:val="000000"/>
          <w:sz w:val="22"/>
          <w:szCs w:val="22"/>
        </w:rPr>
      </w:pPr>
      <w:r w:rsidRPr="004439D0">
        <w:rPr>
          <w:rFonts w:ascii="Verdana" w:hAnsi="Verdana" w:cs="Helvetica"/>
          <w:color w:val="000000"/>
          <w:sz w:val="22"/>
          <w:szCs w:val="22"/>
        </w:rPr>
        <w:t>Los funcionarios en todos los niveles de la entidad deben ser conscientes de sus responsabilidades en relación a los riesgos operativos</w:t>
      </w:r>
    </w:p>
    <w:p w14:paraId="4FAE4487" w14:textId="77777777" w:rsidR="0084542F" w:rsidRPr="004439D0" w:rsidRDefault="0084542F" w:rsidP="00992EC7">
      <w:pPr>
        <w:spacing w:line="276" w:lineRule="auto"/>
        <w:jc w:val="both"/>
        <w:rPr>
          <w:rFonts w:ascii="Verdana" w:hAnsi="Verdana" w:cs="Helvetica"/>
          <w:color w:val="000000"/>
          <w:sz w:val="22"/>
          <w:szCs w:val="22"/>
        </w:rPr>
      </w:pPr>
    </w:p>
    <w:p w14:paraId="6B87CAE7" w14:textId="77777777" w:rsidR="0084542F" w:rsidRPr="004439D0" w:rsidRDefault="0084542F" w:rsidP="00FC7D4F">
      <w:pPr>
        <w:numPr>
          <w:ilvl w:val="0"/>
          <w:numId w:val="8"/>
        </w:numPr>
        <w:spacing w:line="276" w:lineRule="auto"/>
        <w:ind w:left="709" w:hanging="284"/>
        <w:jc w:val="both"/>
        <w:rPr>
          <w:rFonts w:ascii="Verdana" w:hAnsi="Verdana" w:cs="Helvetica"/>
          <w:color w:val="000000"/>
          <w:sz w:val="22"/>
          <w:szCs w:val="22"/>
        </w:rPr>
      </w:pPr>
      <w:r w:rsidRPr="004439D0">
        <w:rPr>
          <w:rFonts w:ascii="Verdana" w:hAnsi="Verdana" w:cs="Helvetica"/>
          <w:color w:val="000000"/>
          <w:sz w:val="22"/>
          <w:szCs w:val="22"/>
        </w:rPr>
        <w:t>Las políticas y metodologías están vigentes para asegurar la consistencia y promover las buenas prácticas en la administración del riesgo operativo</w:t>
      </w:r>
    </w:p>
    <w:p w14:paraId="537FF448" w14:textId="77777777" w:rsidR="0084542F" w:rsidRPr="004439D0" w:rsidRDefault="0084542F" w:rsidP="00992EC7">
      <w:pPr>
        <w:spacing w:line="276" w:lineRule="auto"/>
        <w:jc w:val="both"/>
        <w:rPr>
          <w:rFonts w:ascii="Verdana" w:hAnsi="Verdana" w:cs="Helvetica"/>
          <w:color w:val="000000"/>
          <w:sz w:val="22"/>
          <w:szCs w:val="22"/>
        </w:rPr>
      </w:pPr>
    </w:p>
    <w:p w14:paraId="6ECB4B70" w14:textId="77777777" w:rsidR="0084542F" w:rsidRPr="004439D0" w:rsidRDefault="0084542F" w:rsidP="00FC7D4F">
      <w:pPr>
        <w:numPr>
          <w:ilvl w:val="0"/>
          <w:numId w:val="8"/>
        </w:numPr>
        <w:spacing w:line="276" w:lineRule="auto"/>
        <w:ind w:left="709" w:hanging="284"/>
        <w:jc w:val="both"/>
        <w:rPr>
          <w:rFonts w:ascii="Verdana" w:hAnsi="Verdana" w:cs="Helvetica"/>
          <w:color w:val="000000"/>
          <w:sz w:val="22"/>
          <w:szCs w:val="22"/>
        </w:rPr>
      </w:pPr>
      <w:r w:rsidRPr="004439D0">
        <w:rPr>
          <w:rFonts w:ascii="Verdana" w:hAnsi="Verdana" w:cs="Helvetica"/>
          <w:color w:val="000000"/>
          <w:sz w:val="22"/>
          <w:szCs w:val="22"/>
        </w:rPr>
        <w:t>La responsabilidad en la adecuada administración y gestión del riesgo operativo es de todos los funcionarios del Ministerio, quienes en su día a día conocen bien sus procesos y pueden identificar los posibles riesgos a que están expuestos.</w:t>
      </w:r>
    </w:p>
    <w:p w14:paraId="081A0D5D" w14:textId="464B3F06" w:rsidR="0084542F" w:rsidRPr="004439D0" w:rsidRDefault="0084542F" w:rsidP="00992EC7">
      <w:pPr>
        <w:spacing w:line="276" w:lineRule="auto"/>
        <w:jc w:val="both"/>
        <w:rPr>
          <w:rFonts w:ascii="Verdana" w:hAnsi="Verdana" w:cs="Helvetica"/>
          <w:color w:val="000000"/>
          <w:sz w:val="22"/>
          <w:szCs w:val="22"/>
        </w:rPr>
      </w:pPr>
    </w:p>
    <w:p w14:paraId="5E8EB68E" w14:textId="77777777" w:rsidR="009E36A7" w:rsidRPr="004439D0" w:rsidRDefault="009E36A7" w:rsidP="00992EC7">
      <w:pPr>
        <w:spacing w:line="276" w:lineRule="auto"/>
        <w:jc w:val="both"/>
        <w:rPr>
          <w:rFonts w:ascii="Verdana" w:hAnsi="Verdana" w:cs="Helvetica"/>
          <w:color w:val="000000"/>
          <w:sz w:val="22"/>
          <w:szCs w:val="22"/>
        </w:rPr>
      </w:pPr>
    </w:p>
    <w:p w14:paraId="6A7F5E0F" w14:textId="77777777" w:rsidR="0084542F" w:rsidRPr="004439D0" w:rsidRDefault="0084542F" w:rsidP="00FC7D4F">
      <w:pPr>
        <w:pStyle w:val="Ttulo3"/>
        <w:numPr>
          <w:ilvl w:val="1"/>
          <w:numId w:val="24"/>
        </w:numPr>
        <w:jc w:val="both"/>
        <w:rPr>
          <w:rFonts w:ascii="Verdana" w:hAnsi="Verdana" w:cs="Helvetica"/>
          <w:b/>
          <w:bCs/>
          <w:sz w:val="22"/>
          <w:szCs w:val="22"/>
        </w:rPr>
      </w:pPr>
      <w:bookmarkStart w:id="67" w:name="_Toc507771255"/>
      <w:bookmarkStart w:id="68" w:name="_Toc4590632"/>
      <w:bookmarkStart w:id="69" w:name="_Toc155883051"/>
      <w:r w:rsidRPr="004439D0">
        <w:rPr>
          <w:rFonts w:ascii="Verdana" w:hAnsi="Verdana" w:cs="Helvetica"/>
          <w:b/>
          <w:bCs/>
          <w:sz w:val="22"/>
          <w:szCs w:val="22"/>
        </w:rPr>
        <w:t>Procedimiento de Gestión de Riesgo Operativo</w:t>
      </w:r>
      <w:bookmarkEnd w:id="67"/>
      <w:bookmarkEnd w:id="68"/>
      <w:bookmarkEnd w:id="69"/>
    </w:p>
    <w:p w14:paraId="334844E9" w14:textId="77777777" w:rsidR="0084542F" w:rsidRPr="004439D0" w:rsidRDefault="0084542F" w:rsidP="00992EC7">
      <w:pPr>
        <w:spacing w:line="276" w:lineRule="auto"/>
        <w:jc w:val="both"/>
        <w:rPr>
          <w:rFonts w:ascii="Verdana" w:hAnsi="Verdana" w:cs="Helvetica"/>
          <w:color w:val="000000"/>
          <w:sz w:val="22"/>
          <w:szCs w:val="22"/>
        </w:rPr>
      </w:pPr>
    </w:p>
    <w:p w14:paraId="768861DA"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Para la DGCPTN la gestión del riesgo parte de un ambiente de auto control en cada uno de los procesos y procedimientos a su cargo, de acuerdo a este ambiente ha definido tres líneas de defensa para la gestión del riesgo operativo de la siguiente manera:</w:t>
      </w:r>
    </w:p>
    <w:p w14:paraId="691EE5C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w:drawing>
          <wp:inline distT="0" distB="0" distL="0" distR="0" wp14:anchorId="4195777E" wp14:editId="1F38C107">
            <wp:extent cx="5686425" cy="2943225"/>
            <wp:effectExtent l="38100" t="0" r="9525"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4439D0">
        <w:rPr>
          <w:rFonts w:ascii="Verdana" w:hAnsi="Verdana" w:cs="Helvetica"/>
          <w:color w:val="000000"/>
          <w:sz w:val="22"/>
          <w:szCs w:val="22"/>
        </w:rPr>
        <w:t xml:space="preserve">Para ejecutar las tres líneas de defensa de la Dirección, la Subdirección de Riesgo utilizará la metodología de gestión del riesgo documentada por la norma NTC 5254 de 2006 que es una traducción idéntica de la norma técnica australiana AS/NZ 4360:2004 de amplio reconocimiento mundial, esta norma establece los principales elementos del proceso de gestión de riesgo de la siguiente manera: </w:t>
      </w:r>
    </w:p>
    <w:p w14:paraId="6161C740" w14:textId="77777777" w:rsidR="0084542F" w:rsidRPr="004439D0" w:rsidRDefault="0084542F" w:rsidP="00310615">
      <w:pPr>
        <w:spacing w:line="276" w:lineRule="auto"/>
        <w:jc w:val="center"/>
        <w:rPr>
          <w:rFonts w:ascii="Verdana" w:hAnsi="Verdana" w:cs="Helvetica"/>
          <w:color w:val="000000"/>
          <w:sz w:val="22"/>
          <w:szCs w:val="22"/>
        </w:rPr>
      </w:pPr>
      <w:r w:rsidRPr="004439D0">
        <w:rPr>
          <w:rFonts w:ascii="Verdana" w:hAnsi="Verdana" w:cs="Helvetica"/>
          <w:noProof/>
          <w:color w:val="000000"/>
          <w:sz w:val="22"/>
          <w:szCs w:val="22"/>
          <w:lang w:val="en-US" w:eastAsia="en-US"/>
        </w:rPr>
        <w:drawing>
          <wp:inline distT="0" distB="0" distL="0" distR="0" wp14:anchorId="48895A67" wp14:editId="585DED52">
            <wp:extent cx="4680000" cy="2340000"/>
            <wp:effectExtent l="0" t="0" r="6350" b="3175"/>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inline>
        </w:drawing>
      </w:r>
    </w:p>
    <w:p w14:paraId="69FA7E7E"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Comunicación y Consulta</w:t>
      </w:r>
      <w:r w:rsidRPr="004439D0">
        <w:rPr>
          <w:rFonts w:ascii="Verdana" w:hAnsi="Verdana" w:cs="Helvetica"/>
          <w:sz w:val="22"/>
          <w:szCs w:val="22"/>
        </w:rPr>
        <w:t>. Comunicar y consultar con interesados internos y externos según corresponda en cada etapa del proceso de administración de riesgos y concerniendo al proceso como un todo.</w:t>
      </w:r>
    </w:p>
    <w:p w14:paraId="49D3A222"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Establecer el contexto.</w:t>
      </w:r>
      <w:r w:rsidRPr="004439D0">
        <w:rPr>
          <w:rFonts w:ascii="Verdana" w:hAnsi="Verdana" w:cs="Helvetica"/>
          <w:sz w:val="22"/>
          <w:szCs w:val="22"/>
        </w:rPr>
        <w:t xml:space="preserve"> Establecer el contexto interno y externo de la gestión del riesgo en el cual tendrá lugar el resto del proceso.</w:t>
      </w:r>
    </w:p>
    <w:p w14:paraId="56FFBD94"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Identificar riesgos.</w:t>
      </w:r>
      <w:r w:rsidRPr="004439D0">
        <w:rPr>
          <w:rFonts w:ascii="Verdana" w:hAnsi="Verdana" w:cs="Helvetica"/>
          <w:sz w:val="22"/>
          <w:szCs w:val="22"/>
        </w:rPr>
        <w:t xml:space="preserve"> Identificar qué, por qué y cómo pueden surgir las cosas como base para análisis posterior.</w:t>
      </w:r>
    </w:p>
    <w:p w14:paraId="2C18BEB1"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Analizar riesgos.</w:t>
      </w:r>
      <w:r w:rsidRPr="004439D0">
        <w:rPr>
          <w:rFonts w:ascii="Verdana" w:hAnsi="Verdana" w:cs="Helvetica"/>
          <w:sz w:val="22"/>
          <w:szCs w:val="22"/>
        </w:rPr>
        <w:t xml:space="preserve"> Determinar los controles existentes y analizar riesgos en términos de consecuencias y probabilidades en el contexto de esos controles. El análisis debería considerar el rango de consecuencias potenciales y cuán probable es que ocurran esas consecuencias. Consecuencias y probabilidades pueden ser combinadas para producir un nivel estimado de riesgo.</w:t>
      </w:r>
    </w:p>
    <w:p w14:paraId="4C5863AB"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Evaluar riesgos.</w:t>
      </w:r>
      <w:r w:rsidRPr="004439D0">
        <w:rPr>
          <w:rFonts w:ascii="Verdana" w:hAnsi="Verdana" w:cs="Helvetica"/>
          <w:sz w:val="22"/>
          <w:szCs w:val="22"/>
        </w:rPr>
        <w:t xml:space="preserve"> Comparar niveles estimados de riesgos contra los criterios preestablecidos.</w:t>
      </w:r>
    </w:p>
    <w:p w14:paraId="75F46904" w14:textId="77777777" w:rsidR="0084542F" w:rsidRPr="004439D0" w:rsidRDefault="0084542F" w:rsidP="00992EC7">
      <w:pPr>
        <w:pStyle w:val="Default"/>
        <w:spacing w:after="60" w:line="276" w:lineRule="auto"/>
        <w:jc w:val="both"/>
        <w:rPr>
          <w:rFonts w:ascii="Verdana" w:hAnsi="Verdana" w:cs="Helvetica"/>
          <w:sz w:val="22"/>
          <w:szCs w:val="22"/>
        </w:rPr>
      </w:pPr>
      <w:r w:rsidRPr="004439D0">
        <w:rPr>
          <w:rFonts w:ascii="Verdana" w:hAnsi="Verdana" w:cs="Helvetica"/>
          <w:b/>
          <w:sz w:val="22"/>
          <w:szCs w:val="22"/>
        </w:rPr>
        <w:t>Tratar los riesgos.</w:t>
      </w:r>
      <w:r w:rsidRPr="004439D0">
        <w:rPr>
          <w:rFonts w:ascii="Verdana" w:hAnsi="Verdana" w:cs="Helvetica"/>
          <w:sz w:val="22"/>
          <w:szCs w:val="22"/>
        </w:rPr>
        <w:t xml:space="preserve"> Aceptar y monitorear los riesgos de baja prioridad. Para otros riesgos, desarrollar e implementar un plan de administración específico que incluya consideraciones de fondeo, reduciendo pérdidas potenciales.</w:t>
      </w:r>
    </w:p>
    <w:p w14:paraId="3C6DACC0" w14:textId="6D17BA64" w:rsidR="0084542F" w:rsidRPr="004439D0" w:rsidRDefault="0084542F" w:rsidP="00992EC7">
      <w:pPr>
        <w:pStyle w:val="Default"/>
        <w:spacing w:after="60" w:line="276" w:lineRule="auto"/>
        <w:jc w:val="both"/>
        <w:rPr>
          <w:rFonts w:ascii="Verdana" w:hAnsi="Verdana" w:cs="Helvetica"/>
          <w:bCs/>
          <w:sz w:val="22"/>
          <w:szCs w:val="22"/>
        </w:rPr>
      </w:pPr>
      <w:r w:rsidRPr="004439D0">
        <w:rPr>
          <w:rFonts w:ascii="Verdana" w:hAnsi="Verdana" w:cs="Helvetica"/>
          <w:b/>
          <w:bCs/>
          <w:sz w:val="22"/>
          <w:szCs w:val="22"/>
        </w:rPr>
        <w:t>Monitoreo y revisión.</w:t>
      </w:r>
      <w:r w:rsidRPr="004439D0">
        <w:rPr>
          <w:rFonts w:ascii="Verdana" w:hAnsi="Verdana" w:cs="Helvetica"/>
          <w:bCs/>
          <w:sz w:val="22"/>
          <w:szCs w:val="22"/>
        </w:rPr>
        <w:t xml:space="preserve"> Es necesario monitorear la eficacia de todas las etapas del proceso de gestión del riesgo. Esto es importante para la mejora continua.</w:t>
      </w:r>
    </w:p>
    <w:p w14:paraId="425690A1" w14:textId="77777777" w:rsidR="00B756F0" w:rsidRPr="004439D0" w:rsidRDefault="00B756F0" w:rsidP="00992EC7">
      <w:pPr>
        <w:pStyle w:val="Default"/>
        <w:spacing w:after="60" w:line="276" w:lineRule="auto"/>
        <w:jc w:val="both"/>
        <w:rPr>
          <w:rFonts w:ascii="Verdana" w:hAnsi="Verdana" w:cs="Helvetica"/>
          <w:b/>
          <w:bCs/>
          <w:sz w:val="22"/>
          <w:szCs w:val="22"/>
        </w:rPr>
      </w:pPr>
    </w:p>
    <w:p w14:paraId="5689039C" w14:textId="77777777" w:rsidR="0084542F" w:rsidRPr="004439D0" w:rsidRDefault="0084542F" w:rsidP="00FC7D4F">
      <w:pPr>
        <w:pStyle w:val="Ttulo2"/>
        <w:numPr>
          <w:ilvl w:val="0"/>
          <w:numId w:val="24"/>
        </w:numPr>
        <w:spacing w:line="276" w:lineRule="auto"/>
        <w:rPr>
          <w:rFonts w:ascii="Verdana" w:hAnsi="Verdana" w:cs="Helvetica"/>
          <w:sz w:val="22"/>
          <w:szCs w:val="22"/>
        </w:rPr>
      </w:pPr>
      <w:bookmarkStart w:id="70" w:name="_Toc507771256"/>
      <w:bookmarkStart w:id="71" w:name="_Toc4590633"/>
      <w:bookmarkStart w:id="72" w:name="_Toc155883052"/>
      <w:r w:rsidRPr="004439D0">
        <w:rPr>
          <w:rFonts w:ascii="Verdana" w:hAnsi="Verdana" w:cs="Helvetica"/>
          <w:sz w:val="22"/>
          <w:szCs w:val="22"/>
        </w:rPr>
        <w:t>Metodologías para la Administración de Riesgo Operativo</w:t>
      </w:r>
      <w:bookmarkEnd w:id="70"/>
      <w:bookmarkEnd w:id="71"/>
      <w:bookmarkEnd w:id="72"/>
    </w:p>
    <w:p w14:paraId="615C6AE9" w14:textId="77777777" w:rsidR="0084542F" w:rsidRPr="004439D0" w:rsidRDefault="0084542F" w:rsidP="00992EC7">
      <w:pPr>
        <w:spacing w:line="276" w:lineRule="auto"/>
        <w:jc w:val="both"/>
        <w:rPr>
          <w:rFonts w:ascii="Verdana" w:hAnsi="Verdana" w:cs="Helvetica"/>
          <w:b/>
          <w:bCs/>
          <w:color w:val="000000"/>
          <w:sz w:val="22"/>
          <w:szCs w:val="22"/>
        </w:rPr>
      </w:pPr>
    </w:p>
    <w:p w14:paraId="317E546C"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Para administrar adecuadamente los riesgos operativos es necesario obtener información acerca de las áreas que potencialmente tengan un mayor impacto en la gestión de riesgos operativos, donde se permita un adecuado análisis, para poder determinar las causas que afecten los procesos, conocer acerca de la efectividad de los controles o las medidas que los minimizan y a través de las herramientas también permitir un buen monitoreo de la implementación o el desarrollo de los planes de acción que se llevan a cabo. Entre los principales objetivos de estas metodologías están:</w:t>
      </w:r>
    </w:p>
    <w:p w14:paraId="56797CAA" w14:textId="77777777" w:rsidR="0084542F" w:rsidRPr="004439D0" w:rsidRDefault="0084542F" w:rsidP="00992EC7">
      <w:pPr>
        <w:spacing w:line="276" w:lineRule="auto"/>
        <w:jc w:val="both"/>
        <w:rPr>
          <w:rFonts w:ascii="Verdana" w:hAnsi="Verdana" w:cs="Helvetica"/>
          <w:color w:val="000000"/>
          <w:sz w:val="22"/>
          <w:szCs w:val="22"/>
        </w:rPr>
      </w:pPr>
    </w:p>
    <w:p w14:paraId="0DB05FE6"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Identificar, Evaluar, Mitigar y Monitorear los diferentes riesgos operativos</w:t>
      </w:r>
    </w:p>
    <w:p w14:paraId="425BC1BD"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Crear una cultura proactiva en búsqueda de las mejores prácticas que presenta el mercado</w:t>
      </w:r>
    </w:p>
    <w:p w14:paraId="55243890"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Generar conciencia de los riesgos relacionada con el nivel y naturaleza de las pérdidas operativas</w:t>
      </w:r>
    </w:p>
    <w:p w14:paraId="699AE266"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Realizar un registro e información gerencial de las pérdidas operativas reales y/o potenciales</w:t>
      </w:r>
    </w:p>
    <w:p w14:paraId="75EC4715"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Identificar exposición del Ministerio en relación a los distintos tipos de riesgo operativo</w:t>
      </w:r>
    </w:p>
    <w:p w14:paraId="046FDD47"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Ser un insumo de información fundamental para el análisis en la toma de decisiones</w:t>
      </w:r>
    </w:p>
    <w:p w14:paraId="5288AEF4" w14:textId="77777777" w:rsidR="0084542F" w:rsidRPr="004439D0" w:rsidRDefault="0084542F" w:rsidP="00FC7D4F">
      <w:pPr>
        <w:numPr>
          <w:ilvl w:val="0"/>
          <w:numId w:val="9"/>
        </w:numPr>
        <w:spacing w:line="276" w:lineRule="auto"/>
        <w:jc w:val="both"/>
        <w:rPr>
          <w:rFonts w:ascii="Verdana" w:hAnsi="Verdana" w:cs="Helvetica"/>
          <w:sz w:val="22"/>
          <w:szCs w:val="22"/>
        </w:rPr>
      </w:pPr>
      <w:r w:rsidRPr="004439D0">
        <w:rPr>
          <w:rFonts w:ascii="Verdana" w:hAnsi="Verdana" w:cs="Helvetica"/>
          <w:sz w:val="22"/>
          <w:szCs w:val="22"/>
        </w:rPr>
        <w:t>Aplicar dentro de los procesos más significativos del Ministerio las mejores prácticas para prevenir los posibles riesgos operativos asociados.</w:t>
      </w:r>
    </w:p>
    <w:p w14:paraId="60ACAF64" w14:textId="77777777" w:rsidR="0084542F" w:rsidRPr="004439D0" w:rsidRDefault="0084542F" w:rsidP="00992EC7">
      <w:pPr>
        <w:spacing w:line="276" w:lineRule="auto"/>
        <w:jc w:val="both"/>
        <w:rPr>
          <w:rFonts w:ascii="Verdana" w:hAnsi="Verdana" w:cs="Helvetica"/>
          <w:b/>
          <w:bCs/>
          <w:color w:val="000000"/>
          <w:sz w:val="22"/>
          <w:szCs w:val="22"/>
        </w:rPr>
      </w:pPr>
    </w:p>
    <w:p w14:paraId="5BD1669E" w14:textId="77777777" w:rsidR="0084542F" w:rsidRPr="004439D0" w:rsidRDefault="0084542F" w:rsidP="00FC7D4F">
      <w:pPr>
        <w:pStyle w:val="Ttulo3"/>
        <w:numPr>
          <w:ilvl w:val="1"/>
          <w:numId w:val="24"/>
        </w:numPr>
        <w:ind w:left="567"/>
        <w:jc w:val="both"/>
        <w:rPr>
          <w:rFonts w:ascii="Verdana" w:hAnsi="Verdana" w:cs="Helvetica"/>
          <w:b/>
          <w:bCs/>
          <w:sz w:val="22"/>
          <w:szCs w:val="22"/>
        </w:rPr>
      </w:pPr>
      <w:bookmarkStart w:id="73" w:name="_Toc507771257"/>
      <w:bookmarkStart w:id="74" w:name="_Toc4590634"/>
      <w:bookmarkStart w:id="75" w:name="_Toc155883053"/>
      <w:r w:rsidRPr="004439D0">
        <w:rPr>
          <w:rFonts w:ascii="Verdana" w:hAnsi="Verdana" w:cs="Helvetica"/>
          <w:b/>
          <w:bCs/>
          <w:sz w:val="22"/>
          <w:szCs w:val="22"/>
        </w:rPr>
        <w:t>Procedimiento para la Identificación de Riesgos Operativos</w:t>
      </w:r>
      <w:bookmarkEnd w:id="73"/>
      <w:bookmarkEnd w:id="74"/>
      <w:bookmarkEnd w:id="75"/>
    </w:p>
    <w:p w14:paraId="0B5AACB2" w14:textId="77777777" w:rsidR="0084542F" w:rsidRPr="004439D0" w:rsidRDefault="0084542F" w:rsidP="00992EC7">
      <w:pPr>
        <w:spacing w:line="276" w:lineRule="auto"/>
        <w:jc w:val="both"/>
        <w:rPr>
          <w:rFonts w:ascii="Verdana" w:hAnsi="Verdana" w:cs="Helvetica"/>
          <w:color w:val="000000"/>
          <w:sz w:val="22"/>
          <w:szCs w:val="22"/>
        </w:rPr>
      </w:pPr>
    </w:p>
    <w:p w14:paraId="309FCE5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Para la identificación de riesgos los funcionarios de la DGCPTN acompañados por el gestor de riesgo del área, basados en las actividades descritas en los procesos y procedimientos del SUG, mediante el método Delphi o juicio de expertos documentarán en el formato de identificación de riesgo o de registro de evento de riesgo los riesgos a los que se encuentran expuestos en sus procesos, los cuales deben ser comunicados y avalados por el dueño del proceso. Este formato debe ser enviado a la Subdirección de Riesgo para incluirlos en los mapas de riesgo de la Dirección.</w:t>
      </w:r>
    </w:p>
    <w:p w14:paraId="04425D1D" w14:textId="77777777" w:rsidR="00FC7D4F" w:rsidRPr="004439D0" w:rsidRDefault="00FC7D4F" w:rsidP="00992EC7">
      <w:pPr>
        <w:spacing w:line="276" w:lineRule="auto"/>
        <w:jc w:val="both"/>
        <w:rPr>
          <w:rFonts w:ascii="Verdana" w:hAnsi="Verdana" w:cs="Helvetica"/>
          <w:color w:val="000000"/>
          <w:sz w:val="22"/>
          <w:szCs w:val="22"/>
        </w:rPr>
      </w:pPr>
    </w:p>
    <w:p w14:paraId="391EDD42" w14:textId="095FF620" w:rsidR="0084542F" w:rsidRPr="004439D0" w:rsidRDefault="0084542F" w:rsidP="00310615">
      <w:pPr>
        <w:spacing w:line="276" w:lineRule="auto"/>
        <w:jc w:val="both"/>
        <w:rPr>
          <w:rFonts w:ascii="Verdana" w:hAnsi="Verdana" w:cs="Helvetica"/>
          <w:color w:val="000000"/>
          <w:sz w:val="22"/>
          <w:szCs w:val="22"/>
        </w:rPr>
      </w:pPr>
      <w:r w:rsidRPr="004439D0">
        <w:rPr>
          <w:rFonts w:ascii="Verdana" w:hAnsi="Verdana" w:cs="Helvetica"/>
          <w:noProof/>
          <w:color w:val="000000"/>
          <w:sz w:val="22"/>
          <w:szCs w:val="22"/>
          <w:lang w:val="en-US" w:eastAsia="en-US"/>
        </w:rPr>
        <mc:AlternateContent>
          <mc:Choice Requires="wps">
            <w:drawing>
              <wp:anchor distT="45720" distB="45720" distL="114300" distR="114300" simplePos="0" relativeHeight="251663360" behindDoc="0" locked="0" layoutInCell="1" allowOverlap="1" wp14:anchorId="26663CB4" wp14:editId="3B339E08">
                <wp:simplePos x="0" y="0"/>
                <wp:positionH relativeFrom="column">
                  <wp:posOffset>1910715</wp:posOffset>
                </wp:positionH>
                <wp:positionV relativeFrom="paragraph">
                  <wp:posOffset>2540000</wp:posOffset>
                </wp:positionV>
                <wp:extent cx="4000500" cy="1404620"/>
                <wp:effectExtent l="0" t="0" r="19050" b="2222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14:paraId="3471DEFF" w14:textId="77777777" w:rsidR="0084542F" w:rsidRDefault="0084542F" w:rsidP="0084542F">
                            <w:r>
                              <w:t>La Subdirección de Riesgo, incluirá el riesgo en el mapa de riesgos de la Dirección y hará seguimiento a los controles implementados o por implementar para mitigar el riesgo.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63CB4" id="Cuadro de texto 2" o:spid="_x0000_s1031" type="#_x0000_t202" style="position:absolute;left:0;text-align:left;margin-left:150.45pt;margin-top:200pt;width:3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xnFQIAACc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">
                <v:textbox style="mso-fit-shape-to-text:t">
                  <w:txbxContent>
                    <w:p w14:paraId="3471DEFF" w14:textId="77777777" w:rsidR="0084542F" w:rsidRDefault="0084542F" w:rsidP="0084542F">
                      <w:r>
                        <w:t>La Subdirección de Riesgo, incluirá el riesgo en el mapa de riesgos de la Dirección y hará seguimiento a los controles implementados o por implementar para mitigar el riesgo.</w:t>
                      </w:r>
                    </w:p>
                  </w:txbxContent>
                </v:textbox>
                <w10:wrap type="square"/>
              </v:shape>
            </w:pict>
          </mc:Fallback>
        </mc:AlternateContent>
      </w:r>
      <w:r w:rsidRPr="004439D0">
        <w:rPr>
          <w:rFonts w:ascii="Verdana" w:hAnsi="Verdana" w:cs="Helvetica"/>
          <w:noProof/>
          <w:color w:val="000000"/>
          <w:sz w:val="22"/>
          <w:szCs w:val="22"/>
          <w:lang w:val="en-US" w:eastAsia="en-US"/>
        </w:rPr>
        <mc:AlternateContent>
          <mc:Choice Requires="wps">
            <w:drawing>
              <wp:anchor distT="45720" distB="45720" distL="114300" distR="114300" simplePos="0" relativeHeight="251660288" behindDoc="0" locked="0" layoutInCell="1" allowOverlap="1" wp14:anchorId="46426E2D" wp14:editId="7D8982F2">
                <wp:simplePos x="0" y="0"/>
                <wp:positionH relativeFrom="column">
                  <wp:posOffset>1910715</wp:posOffset>
                </wp:positionH>
                <wp:positionV relativeFrom="paragraph">
                  <wp:posOffset>186055</wp:posOffset>
                </wp:positionV>
                <wp:extent cx="3981450" cy="638175"/>
                <wp:effectExtent l="0" t="0" r="19050" b="285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38175"/>
                        </a:xfrm>
                        <a:prstGeom prst="rect">
                          <a:avLst/>
                        </a:prstGeom>
                        <a:solidFill>
                          <a:srgbClr val="FFFFFF"/>
                        </a:solidFill>
                        <a:ln w="9525">
                          <a:solidFill>
                            <a:srgbClr val="000000"/>
                          </a:solidFill>
                          <a:miter lim="800000"/>
                          <a:headEnd/>
                          <a:tailEnd/>
                        </a:ln>
                      </wps:spPr>
                      <wps:txbx>
                        <w:txbxContent>
                          <w:p w14:paraId="70E63D2A" w14:textId="77777777" w:rsidR="0084542F" w:rsidRDefault="0084542F" w:rsidP="0084542F">
                            <w:r>
                              <w:t>Cuando se identifica un riesgo operativo cada funcionario que ejecuta el proceso debe documentar en el formato de identificación de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6E2D" id="_x0000_s1032" type="#_x0000_t202" style="position:absolute;left:0;text-align:left;margin-left:150.45pt;margin-top:14.65pt;width:313.5pt;height:5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0FQIAACYEAAAOAAAAZHJzL2Uyb0RvYy54bWysk9uO2yAQhu8r9R0Q943jbLKbWHFW22xT&#10;VdoepG0fAAOOUTFDgcROn74D9mbT001VXyDGA//MfDOsb/tWk6N0XoEpaT6ZUiINB6HMvqRfPu9e&#10;LSn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">
                <v:textbox>
                  <w:txbxContent>
                    <w:p w14:paraId="70E63D2A" w14:textId="77777777" w:rsidR="0084542F" w:rsidRDefault="0084542F" w:rsidP="0084542F">
                      <w:r>
                        <w:t>Cuando se identifica un riesgo operativo cada funcionario que ejecuta el proceso debe documentar en el formato de identificación de riesgo.</w:t>
                      </w:r>
                    </w:p>
                  </w:txbxContent>
                </v:textbox>
                <w10:wrap type="square"/>
              </v:shape>
            </w:pict>
          </mc:Fallback>
        </mc:AlternateContent>
      </w:r>
      <w:r w:rsidRPr="004439D0">
        <w:rPr>
          <w:rFonts w:ascii="Verdana" w:hAnsi="Verdana" w:cs="Helvetica"/>
          <w:noProof/>
          <w:color w:val="000000"/>
          <w:sz w:val="22"/>
          <w:szCs w:val="22"/>
          <w:lang w:val="en-US" w:eastAsia="en-US"/>
        </w:rPr>
        <mc:AlternateContent>
          <mc:Choice Requires="wps">
            <w:drawing>
              <wp:anchor distT="45720" distB="45720" distL="114300" distR="114300" simplePos="0" relativeHeight="251661312" behindDoc="0" locked="0" layoutInCell="1" allowOverlap="1" wp14:anchorId="1F716C83" wp14:editId="5D5C94F6">
                <wp:simplePos x="0" y="0"/>
                <wp:positionH relativeFrom="column">
                  <wp:posOffset>1910715</wp:posOffset>
                </wp:positionH>
                <wp:positionV relativeFrom="paragraph">
                  <wp:posOffset>909955</wp:posOffset>
                </wp:positionV>
                <wp:extent cx="4000500" cy="628650"/>
                <wp:effectExtent l="0" t="0" r="19050" b="1905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28650"/>
                        </a:xfrm>
                        <a:prstGeom prst="rect">
                          <a:avLst/>
                        </a:prstGeom>
                        <a:solidFill>
                          <a:srgbClr val="FFFFFF"/>
                        </a:solidFill>
                        <a:ln w="9525">
                          <a:solidFill>
                            <a:srgbClr val="000000"/>
                          </a:solidFill>
                          <a:miter lim="800000"/>
                          <a:headEnd/>
                          <a:tailEnd/>
                        </a:ln>
                      </wps:spPr>
                      <wps:txbx>
                        <w:txbxContent>
                          <w:p w14:paraId="6CF593F2" w14:textId="77777777" w:rsidR="0084542F" w:rsidRDefault="0084542F" w:rsidP="0084542F">
                            <w:r>
                              <w:t>El gestor de riesgo brindará al funcionario el apoyo en el diligenciamiento del formato en cuanto a la calificación del riesgo y la propuesta de controles para mitigar el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6C83" id="_x0000_s1033" type="#_x0000_t202" style="position:absolute;left:0;text-align:left;margin-left:150.45pt;margin-top:71.65pt;width:315pt;height: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">
                <v:textbox>
                  <w:txbxContent>
                    <w:p w14:paraId="6CF593F2" w14:textId="77777777" w:rsidR="0084542F" w:rsidRDefault="0084542F" w:rsidP="0084542F">
                      <w:r>
                        <w:t>El gestor de riesgo brindará al funcionario el apoyo en el diligenciamiento del formato en cuanto a la calificación del riesgo y la propuesta de controles para mitigar el riesgo.</w:t>
                      </w:r>
                    </w:p>
                  </w:txbxContent>
                </v:textbox>
                <w10:wrap type="square"/>
              </v:shape>
            </w:pict>
          </mc:Fallback>
        </mc:AlternateContent>
      </w:r>
      <w:r w:rsidRPr="004439D0">
        <w:rPr>
          <w:rFonts w:ascii="Verdana" w:hAnsi="Verdana" w:cs="Helvetica"/>
          <w:noProof/>
          <w:color w:val="000000"/>
          <w:sz w:val="22"/>
          <w:szCs w:val="22"/>
          <w:lang w:val="en-US" w:eastAsia="en-US"/>
        </w:rPr>
        <mc:AlternateContent>
          <mc:Choice Requires="wps">
            <w:drawing>
              <wp:anchor distT="45720" distB="45720" distL="114300" distR="114300" simplePos="0" relativeHeight="251662336" behindDoc="0" locked="0" layoutInCell="1" allowOverlap="1" wp14:anchorId="43CB841F" wp14:editId="71988289">
                <wp:simplePos x="0" y="0"/>
                <wp:positionH relativeFrom="column">
                  <wp:posOffset>1910715</wp:posOffset>
                </wp:positionH>
                <wp:positionV relativeFrom="paragraph">
                  <wp:posOffset>1681480</wp:posOffset>
                </wp:positionV>
                <wp:extent cx="4000500" cy="466725"/>
                <wp:effectExtent l="0" t="0" r="19050" b="285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66725"/>
                        </a:xfrm>
                        <a:prstGeom prst="rect">
                          <a:avLst/>
                        </a:prstGeom>
                        <a:solidFill>
                          <a:srgbClr val="FFFFFF"/>
                        </a:solidFill>
                        <a:ln w="9525">
                          <a:solidFill>
                            <a:srgbClr val="000000"/>
                          </a:solidFill>
                          <a:miter lim="800000"/>
                          <a:headEnd/>
                          <a:tailEnd/>
                        </a:ln>
                      </wps:spPr>
                      <wps:txbx>
                        <w:txbxContent>
                          <w:p w14:paraId="50727195" w14:textId="77777777" w:rsidR="0084542F" w:rsidRDefault="0084542F" w:rsidP="0084542F">
                            <w:r>
                              <w:t>El subdirector del área revisará los riesgos identificados y aprobará los controles propuestos para mitigar el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B841F" id="_x0000_s1034" type="#_x0000_t202" style="position:absolute;left:0;text-align:left;margin-left:150.45pt;margin-top:132.4pt;width:315pt;height:3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">
                <v:textbox>
                  <w:txbxContent>
                    <w:p w14:paraId="50727195" w14:textId="77777777" w:rsidR="0084542F" w:rsidRDefault="0084542F" w:rsidP="0084542F">
                      <w:r>
                        <w:t>El subdirector del área revisará los riesgos identificados y aprobará los controles propuestos para mitigar el riesgo.</w:t>
                      </w:r>
                    </w:p>
                  </w:txbxContent>
                </v:textbox>
                <w10:wrap type="square"/>
              </v:shape>
            </w:pict>
          </mc:Fallback>
        </mc:AlternateContent>
      </w:r>
      <w:r w:rsidRPr="004439D0">
        <w:rPr>
          <w:rFonts w:ascii="Verdana" w:hAnsi="Verdana" w:cs="Helvetica"/>
          <w:noProof/>
          <w:color w:val="000000"/>
          <w:sz w:val="22"/>
          <w:szCs w:val="22"/>
          <w:lang w:val="en-US" w:eastAsia="en-US"/>
        </w:rPr>
        <mc:AlternateContent>
          <mc:Choice Requires="wps">
            <w:drawing>
              <wp:anchor distT="45720" distB="45720" distL="114300" distR="114300" simplePos="0" relativeHeight="251664384" behindDoc="0" locked="0" layoutInCell="1" allowOverlap="1" wp14:anchorId="02D4A37B" wp14:editId="329053C4">
                <wp:simplePos x="0" y="0"/>
                <wp:positionH relativeFrom="column">
                  <wp:posOffset>1910715</wp:posOffset>
                </wp:positionH>
                <wp:positionV relativeFrom="paragraph">
                  <wp:posOffset>3157855</wp:posOffset>
                </wp:positionV>
                <wp:extent cx="4000500" cy="1404620"/>
                <wp:effectExtent l="0" t="0" r="19050" b="279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14:paraId="27509DDC" w14:textId="77777777" w:rsidR="0084542F" w:rsidRDefault="0084542F" w:rsidP="0084542F">
                            <w:r>
                              <w:t>La DGCPTN aprobará el perfil de riesgo operativo y hará seguimiento a su evolución.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4A37B" id="_x0000_s1035" type="#_x0000_t202" style="position:absolute;left:0;text-align:left;margin-left:150.45pt;margin-top:248.65pt;width:3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">
                <v:textbox style="mso-fit-shape-to-text:t">
                  <w:txbxContent>
                    <w:p w14:paraId="27509DDC" w14:textId="77777777" w:rsidR="0084542F" w:rsidRDefault="0084542F" w:rsidP="0084542F">
                      <w:r>
                        <w:t>La DGCPTN aprobará el perfil de riesgo operativo y hará seguimiento a su evolución.</w:t>
                      </w:r>
                    </w:p>
                  </w:txbxContent>
                </v:textbox>
                <w10:wrap type="square"/>
              </v:shape>
            </w:pict>
          </mc:Fallback>
        </mc:AlternateContent>
      </w:r>
      <w:r w:rsidRPr="004439D0">
        <w:rPr>
          <w:rFonts w:ascii="Verdana" w:hAnsi="Verdana" w:cs="Helvetica"/>
          <w:noProof/>
          <w:color w:val="000000"/>
          <w:sz w:val="22"/>
          <w:szCs w:val="22"/>
          <w:lang w:val="en-US" w:eastAsia="en-US"/>
        </w:rPr>
        <w:drawing>
          <wp:anchor distT="0" distB="0" distL="114300" distR="114300" simplePos="0" relativeHeight="251659264" behindDoc="0" locked="0" layoutInCell="1" allowOverlap="1" wp14:anchorId="65EA54E1" wp14:editId="69C721F0">
            <wp:simplePos x="1076325" y="895350"/>
            <wp:positionH relativeFrom="margin">
              <wp:align>left</wp:align>
            </wp:positionH>
            <wp:positionV relativeFrom="paragraph">
              <wp:align>top</wp:align>
            </wp:positionV>
            <wp:extent cx="2381250" cy="3887470"/>
            <wp:effectExtent l="0" t="0" r="0" b="17780"/>
            <wp:wrapSquare wrapText="bothSides"/>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4439D0">
        <w:rPr>
          <w:rFonts w:ascii="Verdana" w:hAnsi="Verdana" w:cs="Helvetica"/>
          <w:color w:val="000000"/>
          <w:sz w:val="22"/>
          <w:szCs w:val="22"/>
        </w:rPr>
        <w:tab/>
      </w:r>
      <w:r w:rsidRPr="004439D0">
        <w:rPr>
          <w:rFonts w:ascii="Verdana" w:hAnsi="Verdana" w:cs="Helvetica"/>
          <w:color w:val="000000"/>
          <w:sz w:val="22"/>
          <w:szCs w:val="22"/>
        </w:rPr>
        <w:tab/>
      </w:r>
      <w:r w:rsidRPr="004439D0">
        <w:rPr>
          <w:rFonts w:ascii="Verdana" w:hAnsi="Verdana" w:cs="Helvetica"/>
          <w:color w:val="000000"/>
          <w:sz w:val="22"/>
          <w:szCs w:val="22"/>
        </w:rPr>
        <w:tab/>
      </w:r>
    </w:p>
    <w:p w14:paraId="701B0311"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br w:type="textWrapping" w:clear="all"/>
      </w:r>
    </w:p>
    <w:p w14:paraId="57519810"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De acuerdo a la guía para la administración de riesgos del Ministerio, la definición de las causas es de gran relevancia para lograr una adecuada administración del riesgo. Son las causas, los factores a eliminar o mitigar, para que el riesgo no se materialice, mediante la definición de controles efectivos. Dichas causas deben ser analizadas en la etapa de identificación o incluso cuando un riesgo se ha materializado.</w:t>
      </w:r>
    </w:p>
    <w:p w14:paraId="70438570" w14:textId="77777777" w:rsidR="0084542F" w:rsidRPr="004439D0" w:rsidRDefault="0084542F" w:rsidP="00992EC7">
      <w:pPr>
        <w:spacing w:line="276" w:lineRule="auto"/>
        <w:jc w:val="both"/>
        <w:rPr>
          <w:rFonts w:ascii="Verdana" w:hAnsi="Verdana" w:cs="Helvetica"/>
          <w:color w:val="000000"/>
          <w:sz w:val="22"/>
          <w:szCs w:val="22"/>
        </w:rPr>
      </w:pPr>
    </w:p>
    <w:p w14:paraId="6962FB8B" w14:textId="60636A0D" w:rsidR="0084542F"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Para tal fin, se utiliza la metodología del diagrama de Ishikawa (espina de pescado), es un método que permite visualizar de manera estructurada todas las causas posibles del riesgo mediante el análisis desde los agentes generadores de riesgo.</w:t>
      </w:r>
    </w:p>
    <w:p w14:paraId="60E8548E" w14:textId="77777777" w:rsidR="004439D0" w:rsidRPr="004439D0" w:rsidRDefault="004439D0" w:rsidP="00992EC7">
      <w:pPr>
        <w:spacing w:line="276" w:lineRule="auto"/>
        <w:jc w:val="both"/>
        <w:rPr>
          <w:rFonts w:ascii="Verdana" w:hAnsi="Verdana" w:cs="Helvetica"/>
          <w:color w:val="000000"/>
          <w:sz w:val="22"/>
          <w:szCs w:val="22"/>
        </w:rPr>
      </w:pPr>
    </w:p>
    <w:p w14:paraId="1558E608" w14:textId="77777777" w:rsidR="0084542F" w:rsidRPr="004439D0" w:rsidRDefault="0084542F" w:rsidP="00310615">
      <w:pPr>
        <w:spacing w:line="276" w:lineRule="auto"/>
        <w:jc w:val="center"/>
        <w:rPr>
          <w:rFonts w:ascii="Verdana" w:hAnsi="Verdana" w:cs="Helvetica"/>
          <w:sz w:val="22"/>
          <w:szCs w:val="22"/>
        </w:rPr>
      </w:pPr>
      <w:r w:rsidRPr="004439D0">
        <w:rPr>
          <w:rFonts w:ascii="Verdana" w:hAnsi="Verdana" w:cs="Helvetica"/>
          <w:noProof/>
          <w:sz w:val="22"/>
          <w:szCs w:val="22"/>
          <w:lang w:val="en-US" w:eastAsia="en-US"/>
        </w:rPr>
        <w:drawing>
          <wp:inline distT="0" distB="0" distL="0" distR="0" wp14:anchorId="176DEB1A" wp14:editId="6EE10209">
            <wp:extent cx="3390900" cy="2027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0282" cy="2039290"/>
                    </a:xfrm>
                    <a:prstGeom prst="rect">
                      <a:avLst/>
                    </a:prstGeom>
                    <a:noFill/>
                    <a:ln>
                      <a:noFill/>
                    </a:ln>
                  </pic:spPr>
                </pic:pic>
              </a:graphicData>
            </a:graphic>
          </wp:inline>
        </w:drawing>
      </w:r>
    </w:p>
    <w:p w14:paraId="0E7D6EEA" w14:textId="77777777" w:rsidR="0084542F" w:rsidRPr="004439D0" w:rsidRDefault="0084542F" w:rsidP="00992EC7">
      <w:pPr>
        <w:spacing w:line="276" w:lineRule="auto"/>
        <w:jc w:val="both"/>
        <w:rPr>
          <w:rFonts w:ascii="Verdana" w:hAnsi="Verdana" w:cs="Helvetica"/>
          <w:color w:val="000000"/>
          <w:sz w:val="22"/>
          <w:szCs w:val="22"/>
        </w:rPr>
      </w:pPr>
    </w:p>
    <w:p w14:paraId="7D14CEB6" w14:textId="77777777" w:rsidR="0084542F" w:rsidRPr="004439D0" w:rsidRDefault="0084542F" w:rsidP="00992EC7">
      <w:pPr>
        <w:spacing w:line="276" w:lineRule="auto"/>
        <w:ind w:left="-1134"/>
        <w:jc w:val="both"/>
        <w:rPr>
          <w:rFonts w:ascii="Verdana" w:hAnsi="Verdana" w:cs="Helvetica"/>
          <w:b/>
          <w:bCs/>
          <w:color w:val="000000"/>
          <w:sz w:val="22"/>
          <w:szCs w:val="22"/>
        </w:rPr>
      </w:pPr>
      <w:r w:rsidRPr="004439D0">
        <w:rPr>
          <w:rFonts w:ascii="Verdana" w:hAnsi="Verdana" w:cs="Helvetica"/>
          <w:noProof/>
          <w:sz w:val="22"/>
          <w:szCs w:val="22"/>
          <w:lang w:val="en-US" w:eastAsia="en-US"/>
        </w:rPr>
        <w:drawing>
          <wp:inline distT="0" distB="0" distL="0" distR="0" wp14:anchorId="4917F8F2" wp14:editId="47031A4D">
            <wp:extent cx="6520852" cy="4724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0852" cy="4724400"/>
                    </a:xfrm>
                    <a:prstGeom prst="rect">
                      <a:avLst/>
                    </a:prstGeom>
                    <a:noFill/>
                    <a:ln>
                      <a:noFill/>
                    </a:ln>
                  </pic:spPr>
                </pic:pic>
              </a:graphicData>
            </a:graphic>
          </wp:inline>
        </w:drawing>
      </w:r>
    </w:p>
    <w:p w14:paraId="224B15CE" w14:textId="5BF5F9FD" w:rsidR="0084542F" w:rsidRPr="004439D0" w:rsidRDefault="0084542F" w:rsidP="00992EC7">
      <w:pPr>
        <w:pStyle w:val="Ttulo2"/>
        <w:spacing w:line="276" w:lineRule="auto"/>
        <w:rPr>
          <w:rFonts w:ascii="Verdana" w:hAnsi="Verdana" w:cs="Helvetica"/>
          <w:sz w:val="22"/>
          <w:szCs w:val="22"/>
        </w:rPr>
      </w:pPr>
    </w:p>
    <w:p w14:paraId="068457EC" w14:textId="77777777" w:rsidR="009E36A7" w:rsidRPr="004439D0" w:rsidRDefault="009E36A7" w:rsidP="009E36A7">
      <w:pPr>
        <w:rPr>
          <w:rFonts w:ascii="Verdana" w:hAnsi="Verdana"/>
        </w:rPr>
      </w:pPr>
    </w:p>
    <w:p w14:paraId="359032B7" w14:textId="77777777" w:rsidR="0084542F" w:rsidRPr="004439D0" w:rsidRDefault="0084542F" w:rsidP="00FC7D4F">
      <w:pPr>
        <w:pStyle w:val="Ttulo3"/>
        <w:numPr>
          <w:ilvl w:val="1"/>
          <w:numId w:val="24"/>
        </w:numPr>
        <w:spacing w:line="276" w:lineRule="auto"/>
        <w:ind w:left="426" w:hanging="284"/>
        <w:jc w:val="both"/>
        <w:rPr>
          <w:rFonts w:ascii="Verdana" w:hAnsi="Verdana" w:cs="Helvetica"/>
          <w:b/>
          <w:bCs/>
          <w:sz w:val="22"/>
          <w:szCs w:val="22"/>
        </w:rPr>
      </w:pPr>
      <w:bookmarkStart w:id="76" w:name="_Toc507771258"/>
      <w:bookmarkStart w:id="77" w:name="_Toc4590635"/>
      <w:bookmarkStart w:id="78" w:name="_Toc155883054"/>
      <w:r w:rsidRPr="004439D0">
        <w:rPr>
          <w:rFonts w:ascii="Verdana" w:hAnsi="Verdana" w:cs="Helvetica"/>
          <w:b/>
          <w:bCs/>
          <w:sz w:val="22"/>
          <w:szCs w:val="22"/>
        </w:rPr>
        <w:t>Medición de los riesgos operativos</w:t>
      </w:r>
      <w:bookmarkEnd w:id="76"/>
      <w:bookmarkEnd w:id="77"/>
      <w:bookmarkEnd w:id="78"/>
    </w:p>
    <w:p w14:paraId="77F656C4" w14:textId="77777777" w:rsidR="0084542F" w:rsidRPr="004439D0" w:rsidRDefault="0084542F" w:rsidP="00992EC7">
      <w:pPr>
        <w:jc w:val="both"/>
        <w:rPr>
          <w:rFonts w:ascii="Verdana" w:hAnsi="Verdana" w:cs="Helvetica"/>
          <w:sz w:val="22"/>
          <w:szCs w:val="22"/>
        </w:rPr>
      </w:pPr>
    </w:p>
    <w:p w14:paraId="406B9790"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sz w:val="22"/>
          <w:szCs w:val="22"/>
        </w:rPr>
        <w:t>Los criterios para efectuar la medición de los riesgos son los siguientes:</w:t>
      </w:r>
    </w:p>
    <w:p w14:paraId="7AA23A9D" w14:textId="77777777" w:rsidR="0084542F" w:rsidRPr="004439D0" w:rsidRDefault="0084542F" w:rsidP="00992EC7">
      <w:pPr>
        <w:spacing w:line="276" w:lineRule="auto"/>
        <w:jc w:val="both"/>
        <w:rPr>
          <w:rFonts w:ascii="Verdana" w:hAnsi="Verdana" w:cs="Helvetica"/>
          <w:sz w:val="22"/>
          <w:szCs w:val="22"/>
        </w:rPr>
      </w:pPr>
    </w:p>
    <w:p w14:paraId="3CAF87EE"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b/>
          <w:sz w:val="22"/>
          <w:szCs w:val="22"/>
        </w:rPr>
        <w:t>Probabilidad de ocurrencia</w:t>
      </w:r>
      <w:r w:rsidRPr="004439D0">
        <w:rPr>
          <w:rFonts w:ascii="Verdana" w:hAnsi="Verdana" w:cs="Helvetica"/>
          <w:sz w:val="22"/>
          <w:szCs w:val="22"/>
        </w:rPr>
        <w:t>: La unidad de medida será: Raro, Improbable, Moderado, Probable, Casi Certeza. Para establecer la probabilidad de ocurrencia, se deberá tener en cuenta si se han presentado eventos de riesgo de manera permanente, esporádica o recurrente.</w:t>
      </w:r>
    </w:p>
    <w:p w14:paraId="34FE88B5" w14:textId="77777777" w:rsidR="0084542F" w:rsidRPr="004439D0" w:rsidRDefault="0084542F" w:rsidP="00992EC7">
      <w:pPr>
        <w:spacing w:line="276" w:lineRule="auto"/>
        <w:jc w:val="both"/>
        <w:rPr>
          <w:rFonts w:ascii="Verdana" w:hAnsi="Verdana" w:cs="Helvetica"/>
          <w:sz w:val="22"/>
          <w:szCs w:val="22"/>
        </w:rPr>
      </w:pPr>
    </w:p>
    <w:p w14:paraId="23CF5A07"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b/>
          <w:sz w:val="22"/>
          <w:szCs w:val="22"/>
        </w:rPr>
        <w:t>Impacto</w:t>
      </w:r>
      <w:r w:rsidRPr="004439D0">
        <w:rPr>
          <w:rFonts w:ascii="Verdana" w:hAnsi="Verdana" w:cs="Helvetica"/>
          <w:sz w:val="22"/>
          <w:szCs w:val="22"/>
        </w:rPr>
        <w:t>: La unidad de medida para el impacto será: Insignificante, Menor, Moderado, Mayor y Catastrófico y se califica teniendo en cuenta sus efectos económicos, reputacional, legal y operativo.</w:t>
      </w:r>
    </w:p>
    <w:p w14:paraId="64BD82F3"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sz w:val="22"/>
          <w:szCs w:val="22"/>
        </w:rPr>
        <w:t>Los niveles de cada una de las escalas de medición serán definidos por la Subdirección de Riesgo de acuerdo a criterios estadísticos.</w:t>
      </w:r>
    </w:p>
    <w:p w14:paraId="55559E42" w14:textId="77777777" w:rsidR="0084542F" w:rsidRPr="004439D0" w:rsidRDefault="0084542F" w:rsidP="00992EC7">
      <w:pPr>
        <w:spacing w:line="276" w:lineRule="auto"/>
        <w:jc w:val="both"/>
        <w:rPr>
          <w:rFonts w:ascii="Verdana" w:hAnsi="Verdana" w:cs="Helvetica"/>
          <w:sz w:val="22"/>
          <w:szCs w:val="22"/>
        </w:rPr>
      </w:pPr>
    </w:p>
    <w:p w14:paraId="50A53F17" w14:textId="73FD73CD"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sz w:val="22"/>
          <w:szCs w:val="22"/>
        </w:rPr>
        <w:t>Una vez se realice la medición de la probabilidad y del impacto para los riesgos de cada proceso por las áreas responsables, la Subdirección de Riesgo revisará la calificación dada y debe realizar la medición consolidada para la Dirección, determinando el perfil de Riesgo Inherente.</w:t>
      </w:r>
    </w:p>
    <w:p w14:paraId="5D508465" w14:textId="77777777" w:rsidR="002A5A71" w:rsidRPr="004439D0" w:rsidRDefault="002A5A71" w:rsidP="00992EC7">
      <w:pPr>
        <w:spacing w:line="276" w:lineRule="auto"/>
        <w:jc w:val="both"/>
        <w:rPr>
          <w:rFonts w:ascii="Verdana" w:hAnsi="Verdana" w:cs="Helvetica"/>
          <w:sz w:val="22"/>
          <w:szCs w:val="22"/>
        </w:rPr>
      </w:pPr>
    </w:p>
    <w:p w14:paraId="6E722B85" w14:textId="77777777" w:rsidR="0084542F" w:rsidRPr="004439D0" w:rsidRDefault="0084542F" w:rsidP="00FC7D4F">
      <w:pPr>
        <w:pStyle w:val="Ttulo4"/>
        <w:numPr>
          <w:ilvl w:val="2"/>
          <w:numId w:val="24"/>
        </w:numPr>
        <w:ind w:left="1276" w:hanging="850"/>
        <w:jc w:val="both"/>
        <w:rPr>
          <w:rFonts w:ascii="Verdana" w:hAnsi="Verdana" w:cs="Helvetica"/>
          <w:sz w:val="22"/>
          <w:szCs w:val="22"/>
        </w:rPr>
      </w:pPr>
      <w:bookmarkStart w:id="79" w:name="_Toc507771259"/>
      <w:bookmarkStart w:id="80" w:name="_Toc4590636"/>
      <w:r w:rsidRPr="004439D0">
        <w:rPr>
          <w:rFonts w:ascii="Verdana" w:hAnsi="Verdana" w:cs="Helvetica"/>
          <w:sz w:val="22"/>
          <w:szCs w:val="22"/>
        </w:rPr>
        <w:t>Definición de los niveles de riesgo operativo.</w:t>
      </w:r>
      <w:bookmarkEnd w:id="79"/>
      <w:bookmarkEnd w:id="80"/>
    </w:p>
    <w:p w14:paraId="2CFC892D" w14:textId="77777777" w:rsidR="0084542F" w:rsidRPr="004439D0" w:rsidRDefault="0084542F" w:rsidP="00992EC7">
      <w:pPr>
        <w:spacing w:line="276" w:lineRule="auto"/>
        <w:jc w:val="both"/>
        <w:rPr>
          <w:rFonts w:ascii="Verdana" w:hAnsi="Verdana" w:cs="Helvetica"/>
          <w:sz w:val="22"/>
          <w:szCs w:val="22"/>
        </w:rPr>
      </w:pPr>
    </w:p>
    <w:p w14:paraId="6F274090" w14:textId="50D3657C"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Los riesgos evidenciados, deberán clasificarse conforme a los anteriores criterios empleando la matriz de riesgo definida. La DGCPTN manejará los siguientes niveles para determinar el impacto de los riesgos operativos según la escala que relaciona probabilidades de ocurrencia e impacto:</w:t>
      </w:r>
    </w:p>
    <w:p w14:paraId="58E921D5" w14:textId="77777777" w:rsidR="00B756F0" w:rsidRPr="004439D0" w:rsidRDefault="00B756F0" w:rsidP="00992EC7">
      <w:pPr>
        <w:spacing w:line="276" w:lineRule="auto"/>
        <w:jc w:val="both"/>
        <w:rPr>
          <w:rFonts w:ascii="Verdana" w:hAnsi="Verdana" w:cs="Helvetica"/>
          <w:color w:val="000000"/>
          <w:sz w:val="22"/>
          <w:szCs w:val="22"/>
        </w:rPr>
      </w:pPr>
    </w:p>
    <w:p w14:paraId="4FE4BD8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sz w:val="22"/>
          <w:szCs w:val="22"/>
          <w:lang w:val="en-US" w:eastAsia="en-US"/>
        </w:rPr>
        <w:drawing>
          <wp:inline distT="0" distB="0" distL="0" distR="0" wp14:anchorId="67079E74" wp14:editId="2A56A714">
            <wp:extent cx="5612130" cy="3943839"/>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943839"/>
                    </a:xfrm>
                    <a:prstGeom prst="rect">
                      <a:avLst/>
                    </a:prstGeom>
                    <a:noFill/>
                    <a:ln>
                      <a:noFill/>
                    </a:ln>
                  </pic:spPr>
                </pic:pic>
              </a:graphicData>
            </a:graphic>
          </wp:inline>
        </w:drawing>
      </w:r>
    </w:p>
    <w:p w14:paraId="656FE014"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Para determinar la probabilidad de ocurrencia de los riesgos se utilizarán las siguientes escalas:</w:t>
      </w:r>
    </w:p>
    <w:p w14:paraId="0FF453EF" w14:textId="77777777" w:rsidR="0084542F" w:rsidRPr="004439D0" w:rsidRDefault="0084542F" w:rsidP="00992EC7">
      <w:pPr>
        <w:spacing w:line="276" w:lineRule="auto"/>
        <w:jc w:val="both"/>
        <w:rPr>
          <w:rFonts w:ascii="Verdana" w:hAnsi="Verdana" w:cs="Helvetica"/>
          <w:color w:val="000000"/>
          <w:sz w:val="22"/>
          <w:szCs w:val="22"/>
        </w:rPr>
      </w:pPr>
    </w:p>
    <w:p w14:paraId="2B44A42F"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noProof/>
          <w:sz w:val="22"/>
          <w:szCs w:val="22"/>
          <w:lang w:val="en-US" w:eastAsia="en-US"/>
        </w:rPr>
        <w:drawing>
          <wp:inline distT="0" distB="0" distL="0" distR="0" wp14:anchorId="5954630F" wp14:editId="15692A84">
            <wp:extent cx="5612130" cy="4242179"/>
            <wp:effectExtent l="0" t="0" r="762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242179"/>
                    </a:xfrm>
                    <a:prstGeom prst="rect">
                      <a:avLst/>
                    </a:prstGeom>
                    <a:noFill/>
                    <a:ln>
                      <a:noFill/>
                    </a:ln>
                  </pic:spPr>
                </pic:pic>
              </a:graphicData>
            </a:graphic>
          </wp:inline>
        </w:drawing>
      </w:r>
    </w:p>
    <w:p w14:paraId="035B66EF" w14:textId="77777777" w:rsidR="0084542F" w:rsidRPr="004439D0" w:rsidRDefault="0084542F" w:rsidP="00992EC7">
      <w:pPr>
        <w:spacing w:line="276" w:lineRule="auto"/>
        <w:jc w:val="both"/>
        <w:rPr>
          <w:rFonts w:ascii="Verdana" w:hAnsi="Verdana" w:cs="Helvetica"/>
          <w:color w:val="000000"/>
          <w:sz w:val="22"/>
          <w:szCs w:val="22"/>
        </w:rPr>
      </w:pPr>
    </w:p>
    <w:p w14:paraId="648899B7"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Los riesgos evidenciados, deberán clasificarse conforme las anteriores escalas empleando la matriz de riesgo definida:</w:t>
      </w:r>
    </w:p>
    <w:p w14:paraId="677DF8D7" w14:textId="77777777" w:rsidR="0084542F" w:rsidRPr="004439D0" w:rsidRDefault="0084542F" w:rsidP="00992EC7">
      <w:pPr>
        <w:spacing w:line="276" w:lineRule="auto"/>
        <w:jc w:val="both"/>
        <w:rPr>
          <w:rFonts w:ascii="Verdana" w:hAnsi="Verdana" w:cs="Helvetica"/>
          <w:color w:val="000000"/>
          <w:sz w:val="22"/>
          <w:szCs w:val="22"/>
        </w:rPr>
      </w:pPr>
    </w:p>
    <w:p w14:paraId="66C03781" w14:textId="77777777" w:rsidR="0084542F" w:rsidRPr="004439D0" w:rsidRDefault="0084542F" w:rsidP="00084554">
      <w:pPr>
        <w:spacing w:line="276" w:lineRule="auto"/>
        <w:jc w:val="center"/>
        <w:rPr>
          <w:rFonts w:ascii="Verdana" w:hAnsi="Verdana" w:cs="Helvetica"/>
          <w:color w:val="000000"/>
          <w:sz w:val="22"/>
          <w:szCs w:val="22"/>
        </w:rPr>
      </w:pPr>
      <w:r w:rsidRPr="004439D0">
        <w:rPr>
          <w:rFonts w:ascii="Verdana" w:hAnsi="Verdana" w:cs="Helvetica"/>
          <w:noProof/>
          <w:sz w:val="22"/>
          <w:szCs w:val="22"/>
          <w:lang w:val="en-US" w:eastAsia="en-US"/>
        </w:rPr>
        <w:drawing>
          <wp:inline distT="0" distB="0" distL="0" distR="0" wp14:anchorId="7E90CB49" wp14:editId="681757C8">
            <wp:extent cx="4793423" cy="434340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9894" cy="4349263"/>
                    </a:xfrm>
                    <a:prstGeom prst="rect">
                      <a:avLst/>
                    </a:prstGeom>
                    <a:noFill/>
                    <a:ln>
                      <a:noFill/>
                    </a:ln>
                  </pic:spPr>
                </pic:pic>
              </a:graphicData>
            </a:graphic>
          </wp:inline>
        </w:drawing>
      </w:r>
    </w:p>
    <w:p w14:paraId="771E432D" w14:textId="77777777" w:rsidR="0084542F" w:rsidRPr="004439D0" w:rsidRDefault="0084542F" w:rsidP="00992EC7">
      <w:pPr>
        <w:spacing w:line="276" w:lineRule="auto"/>
        <w:jc w:val="both"/>
        <w:rPr>
          <w:rFonts w:ascii="Verdana" w:hAnsi="Verdana" w:cs="Helvetica"/>
          <w:sz w:val="22"/>
          <w:szCs w:val="22"/>
        </w:rPr>
      </w:pPr>
    </w:p>
    <w:tbl>
      <w:tblPr>
        <w:tblW w:w="8940" w:type="dxa"/>
        <w:tblCellSpacing w:w="0" w:type="dxa"/>
        <w:tblInd w:w="1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61"/>
        <w:gridCol w:w="6370"/>
      </w:tblGrid>
      <w:tr w:rsidR="0084542F" w:rsidRPr="004439D0" w14:paraId="1D66A3E5" w14:textId="77777777" w:rsidTr="00AA5CA8">
        <w:trPr>
          <w:trHeight w:val="930"/>
          <w:tblCellSpacing w:w="0" w:type="dxa"/>
        </w:trPr>
        <w:tc>
          <w:tcPr>
            <w:tcW w:w="709" w:type="dxa"/>
            <w:shd w:val="clear" w:color="auto" w:fill="FF3300"/>
          </w:tcPr>
          <w:p w14:paraId="5F040417" w14:textId="77777777" w:rsidR="0084542F" w:rsidRPr="004439D0" w:rsidRDefault="0084542F" w:rsidP="00992EC7">
            <w:pPr>
              <w:spacing w:line="276" w:lineRule="auto"/>
              <w:ind w:left="-30"/>
              <w:jc w:val="both"/>
              <w:rPr>
                <w:rFonts w:ascii="Verdana" w:hAnsi="Verdana" w:cs="Helvetica"/>
                <w:sz w:val="22"/>
                <w:szCs w:val="22"/>
              </w:rPr>
            </w:pPr>
          </w:p>
        </w:tc>
        <w:tc>
          <w:tcPr>
            <w:tcW w:w="1861" w:type="dxa"/>
            <w:vAlign w:val="center"/>
          </w:tcPr>
          <w:p w14:paraId="381DD22E"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Extremo</w:t>
            </w:r>
          </w:p>
        </w:tc>
        <w:tc>
          <w:tcPr>
            <w:tcW w:w="6370" w:type="dxa"/>
            <w:vAlign w:val="center"/>
          </w:tcPr>
          <w:p w14:paraId="6B14F0CC"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con frecuencia de ocurrencia alta; no existen los suficientes controles y planes de contingencia, o los actuales resultan insuficientes. (No Aceptado por la DGCPTN.)</w:t>
            </w:r>
          </w:p>
        </w:tc>
      </w:tr>
      <w:tr w:rsidR="0084542F" w:rsidRPr="004439D0" w14:paraId="6B9DE279" w14:textId="77777777" w:rsidTr="00AA5CA8">
        <w:trPr>
          <w:trHeight w:val="930"/>
          <w:tblCellSpacing w:w="0" w:type="dxa"/>
        </w:trPr>
        <w:tc>
          <w:tcPr>
            <w:tcW w:w="709" w:type="dxa"/>
            <w:tcBorders>
              <w:top w:val="single" w:sz="8" w:space="0" w:color="000000"/>
              <w:bottom w:val="single" w:sz="8" w:space="0" w:color="000000"/>
            </w:tcBorders>
            <w:shd w:val="clear" w:color="auto" w:fill="FF6600"/>
          </w:tcPr>
          <w:p w14:paraId="05AA3D52" w14:textId="77777777" w:rsidR="0084542F" w:rsidRPr="004439D0" w:rsidRDefault="0084542F" w:rsidP="00992EC7">
            <w:pPr>
              <w:spacing w:line="276" w:lineRule="auto"/>
              <w:jc w:val="both"/>
              <w:rPr>
                <w:rFonts w:ascii="Verdana" w:hAnsi="Verdana" w:cs="Helvetica"/>
                <w:sz w:val="22"/>
                <w:szCs w:val="22"/>
              </w:rPr>
            </w:pPr>
          </w:p>
        </w:tc>
        <w:tc>
          <w:tcPr>
            <w:tcW w:w="1861" w:type="dxa"/>
            <w:vAlign w:val="center"/>
          </w:tcPr>
          <w:p w14:paraId="6EFF1DF2"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Alto</w:t>
            </w:r>
          </w:p>
        </w:tc>
        <w:tc>
          <w:tcPr>
            <w:tcW w:w="6370" w:type="dxa"/>
            <w:vAlign w:val="center"/>
          </w:tcPr>
          <w:p w14:paraId="4C2CBEBB"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que pueden tener o no una frecuencia de ocurrencia alta, pero que comparten el hecho de que los controles actuales y planes de contingencia pueden mejorarse. (No Aceptado por la DGCPTN.)</w:t>
            </w:r>
          </w:p>
        </w:tc>
      </w:tr>
      <w:tr w:rsidR="0084542F" w:rsidRPr="004439D0" w14:paraId="68575EE4" w14:textId="77777777" w:rsidTr="00AA5CA8">
        <w:trPr>
          <w:trHeight w:val="930"/>
          <w:tblCellSpacing w:w="0" w:type="dxa"/>
        </w:trPr>
        <w:tc>
          <w:tcPr>
            <w:tcW w:w="709" w:type="dxa"/>
            <w:shd w:val="clear" w:color="auto" w:fill="FFFF66"/>
          </w:tcPr>
          <w:p w14:paraId="2306344B" w14:textId="77777777" w:rsidR="0084542F" w:rsidRPr="004439D0" w:rsidRDefault="0084542F" w:rsidP="00992EC7">
            <w:pPr>
              <w:spacing w:line="276" w:lineRule="auto"/>
              <w:ind w:left="720"/>
              <w:jc w:val="both"/>
              <w:rPr>
                <w:rFonts w:ascii="Verdana" w:hAnsi="Verdana" w:cs="Helvetica"/>
                <w:sz w:val="22"/>
                <w:szCs w:val="22"/>
              </w:rPr>
            </w:pPr>
          </w:p>
        </w:tc>
        <w:tc>
          <w:tcPr>
            <w:tcW w:w="1861" w:type="dxa"/>
            <w:vAlign w:val="center"/>
          </w:tcPr>
          <w:p w14:paraId="4010F04C"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Moderado</w:t>
            </w:r>
          </w:p>
        </w:tc>
        <w:tc>
          <w:tcPr>
            <w:tcW w:w="6370" w:type="dxa"/>
            <w:vAlign w:val="center"/>
          </w:tcPr>
          <w:p w14:paraId="64DF5F49"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de ocurrencia no muy frecuente, aunque probable; para los cuales existen adecuados controles y planes de contingencia.</w:t>
            </w:r>
          </w:p>
        </w:tc>
      </w:tr>
      <w:tr w:rsidR="0084542F" w:rsidRPr="004439D0" w14:paraId="78423705" w14:textId="77777777" w:rsidTr="00AA5CA8">
        <w:trPr>
          <w:trHeight w:val="930"/>
          <w:tblCellSpacing w:w="0" w:type="dxa"/>
        </w:trPr>
        <w:tc>
          <w:tcPr>
            <w:tcW w:w="709" w:type="dxa"/>
            <w:shd w:val="clear" w:color="auto" w:fill="00CC00"/>
          </w:tcPr>
          <w:p w14:paraId="7AE035D4" w14:textId="77777777" w:rsidR="0084542F" w:rsidRPr="004439D0" w:rsidRDefault="0084542F" w:rsidP="00992EC7">
            <w:pPr>
              <w:spacing w:line="276" w:lineRule="auto"/>
              <w:ind w:left="720"/>
              <w:jc w:val="both"/>
              <w:rPr>
                <w:rFonts w:ascii="Verdana" w:hAnsi="Verdana" w:cs="Helvetica"/>
                <w:sz w:val="22"/>
                <w:szCs w:val="22"/>
              </w:rPr>
            </w:pPr>
          </w:p>
        </w:tc>
        <w:tc>
          <w:tcPr>
            <w:tcW w:w="1861" w:type="dxa"/>
            <w:vAlign w:val="center"/>
          </w:tcPr>
          <w:p w14:paraId="067E0087"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Bajo</w:t>
            </w:r>
          </w:p>
        </w:tc>
        <w:tc>
          <w:tcPr>
            <w:tcW w:w="6370" w:type="dxa"/>
            <w:vAlign w:val="center"/>
          </w:tcPr>
          <w:p w14:paraId="2AE6EDEC"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Corresponden a aquellos riesgos de ocurrencia poco probable, para los cuales existen adecuados controles y planes de contingencia</w:t>
            </w:r>
          </w:p>
        </w:tc>
      </w:tr>
    </w:tbl>
    <w:p w14:paraId="50444AA6" w14:textId="77777777" w:rsidR="0084542F" w:rsidRPr="004439D0" w:rsidRDefault="0084542F" w:rsidP="00FC7D4F">
      <w:pPr>
        <w:pStyle w:val="Ttulo2"/>
        <w:numPr>
          <w:ilvl w:val="0"/>
          <w:numId w:val="24"/>
        </w:numPr>
        <w:spacing w:line="276" w:lineRule="auto"/>
        <w:rPr>
          <w:rFonts w:ascii="Verdana" w:hAnsi="Verdana" w:cs="Helvetica"/>
          <w:sz w:val="22"/>
          <w:szCs w:val="22"/>
        </w:rPr>
      </w:pPr>
      <w:bookmarkStart w:id="81" w:name="_Toc507771260"/>
      <w:bookmarkStart w:id="82" w:name="_Toc4590637"/>
      <w:bookmarkStart w:id="83" w:name="_Toc155883055"/>
      <w:r w:rsidRPr="004439D0">
        <w:rPr>
          <w:rFonts w:ascii="Verdana" w:hAnsi="Verdana" w:cs="Helvetica"/>
          <w:sz w:val="22"/>
          <w:szCs w:val="22"/>
        </w:rPr>
        <w:t>Autoevaluación de Riesgos y Controles Operativos</w:t>
      </w:r>
      <w:bookmarkEnd w:id="81"/>
      <w:bookmarkEnd w:id="82"/>
      <w:bookmarkEnd w:id="83"/>
    </w:p>
    <w:p w14:paraId="66F0B132" w14:textId="77777777" w:rsidR="0084542F" w:rsidRPr="004439D0" w:rsidRDefault="0084542F" w:rsidP="00992EC7">
      <w:pPr>
        <w:jc w:val="both"/>
        <w:rPr>
          <w:rFonts w:ascii="Verdana" w:hAnsi="Verdana" w:cs="Helvetica"/>
          <w:sz w:val="22"/>
          <w:szCs w:val="22"/>
        </w:rPr>
      </w:pPr>
    </w:p>
    <w:p w14:paraId="3ACAC4C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La DGCPTN, establece las autoevaluaciones de riesgos y controles operativos como un medio para asegurar que las personas integrantes de las unidades significativas identifiquen y evalúen: </w:t>
      </w:r>
      <w:r w:rsidRPr="004439D0">
        <w:rPr>
          <w:rFonts w:ascii="Verdana" w:hAnsi="Verdana" w:cs="Helvetica"/>
          <w:i/>
          <w:color w:val="000000"/>
          <w:sz w:val="22"/>
          <w:szCs w:val="22"/>
        </w:rPr>
        <w:t>a</w:t>
      </w:r>
      <w:r w:rsidRPr="004439D0">
        <w:rPr>
          <w:rFonts w:ascii="Verdana" w:hAnsi="Verdana" w:cs="Helvetica"/>
          <w:color w:val="000000"/>
          <w:sz w:val="22"/>
          <w:szCs w:val="22"/>
        </w:rPr>
        <w:t xml:space="preserve">) sus riesgos operativos más significativos basándose en el impacto potencial del riesgo y </w:t>
      </w:r>
      <w:r w:rsidRPr="004439D0">
        <w:rPr>
          <w:rFonts w:ascii="Verdana" w:hAnsi="Verdana" w:cs="Helvetica"/>
          <w:i/>
          <w:color w:val="000000"/>
          <w:sz w:val="22"/>
          <w:szCs w:val="22"/>
        </w:rPr>
        <w:t>b</w:t>
      </w:r>
      <w:r w:rsidRPr="004439D0">
        <w:rPr>
          <w:rFonts w:ascii="Verdana" w:hAnsi="Verdana" w:cs="Helvetica"/>
          <w:color w:val="000000"/>
          <w:sz w:val="22"/>
          <w:szCs w:val="22"/>
        </w:rPr>
        <w:t xml:space="preserve">) la efectividad de los controles relacionados a dichos procesos. </w:t>
      </w:r>
    </w:p>
    <w:p w14:paraId="0FEBB234" w14:textId="77777777" w:rsidR="0084542F" w:rsidRPr="004439D0" w:rsidRDefault="0084542F" w:rsidP="00992EC7">
      <w:pPr>
        <w:spacing w:line="276" w:lineRule="auto"/>
        <w:jc w:val="both"/>
        <w:rPr>
          <w:rFonts w:ascii="Verdana" w:hAnsi="Verdana" w:cs="Helvetica"/>
          <w:color w:val="000000"/>
          <w:sz w:val="22"/>
          <w:szCs w:val="22"/>
        </w:rPr>
      </w:pPr>
    </w:p>
    <w:p w14:paraId="6020394C"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Las evaluaciones de todas las unidades o áreas significativas de la Dirección se realizan periódicamente, con el fin de determinar los cambios que se puedan presentar de un periodo a otro. El programa provee una base para que la alta Dirección evalúe si existen controles y procesos apropiados, y establezca si estos son efectivos para mitigar el riesgo operativo de forma continua; de no ser así se deben tomar acciones correctivas apropiadas.</w:t>
      </w:r>
    </w:p>
    <w:p w14:paraId="4F431298" w14:textId="77777777" w:rsidR="0084542F" w:rsidRPr="004439D0" w:rsidRDefault="0084542F" w:rsidP="00992EC7">
      <w:pPr>
        <w:spacing w:line="276" w:lineRule="auto"/>
        <w:jc w:val="both"/>
        <w:rPr>
          <w:rFonts w:ascii="Verdana" w:hAnsi="Verdana" w:cs="Helvetica"/>
          <w:color w:val="000000"/>
          <w:sz w:val="22"/>
          <w:szCs w:val="22"/>
        </w:rPr>
      </w:pPr>
    </w:p>
    <w:p w14:paraId="5B2D1FF8" w14:textId="71EF7FE0"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De igual forma la Subdirección de Riesgo, periódicamente realiza el monitoreo de las actividades de control establecidos en los procesos y procedimientos formalizados en el SUG, utilizando el formato de evaluación de controles.</w:t>
      </w:r>
    </w:p>
    <w:p w14:paraId="0C099FC0" w14:textId="77777777" w:rsidR="0084542F" w:rsidRPr="004439D0" w:rsidRDefault="0084542F" w:rsidP="00992EC7">
      <w:pPr>
        <w:spacing w:line="276" w:lineRule="auto"/>
        <w:jc w:val="both"/>
        <w:rPr>
          <w:rFonts w:ascii="Verdana" w:hAnsi="Verdana" w:cs="Helvetica"/>
          <w:sz w:val="22"/>
          <w:szCs w:val="22"/>
        </w:rPr>
      </w:pPr>
    </w:p>
    <w:p w14:paraId="6D304342" w14:textId="26CA018A" w:rsidR="0084542F" w:rsidRPr="004439D0" w:rsidRDefault="006F77AA" w:rsidP="00FC7D4F">
      <w:pPr>
        <w:pStyle w:val="Ttulo2"/>
        <w:numPr>
          <w:ilvl w:val="0"/>
          <w:numId w:val="24"/>
        </w:numPr>
        <w:spacing w:line="276" w:lineRule="auto"/>
        <w:rPr>
          <w:rFonts w:ascii="Verdana" w:hAnsi="Verdana" w:cs="Helvetica"/>
          <w:sz w:val="22"/>
          <w:szCs w:val="22"/>
        </w:rPr>
      </w:pPr>
      <w:bookmarkStart w:id="84" w:name="_Toc507771261"/>
      <w:bookmarkStart w:id="85" w:name="_Toc4590638"/>
      <w:bookmarkStart w:id="86" w:name="_Toc155883056"/>
      <w:r>
        <w:rPr>
          <w:rFonts w:ascii="Verdana" w:hAnsi="Verdana" w:cs="Helvetica"/>
          <w:sz w:val="22"/>
          <w:szCs w:val="22"/>
        </w:rPr>
        <w:t xml:space="preserve"> </w:t>
      </w:r>
      <w:r w:rsidR="0084542F" w:rsidRPr="004439D0">
        <w:rPr>
          <w:rFonts w:ascii="Verdana" w:hAnsi="Verdana" w:cs="Helvetica"/>
          <w:sz w:val="22"/>
          <w:szCs w:val="22"/>
        </w:rPr>
        <w:t>Monitoreo de los Riesgos</w:t>
      </w:r>
      <w:bookmarkEnd w:id="84"/>
      <w:bookmarkEnd w:id="85"/>
      <w:bookmarkEnd w:id="86"/>
    </w:p>
    <w:p w14:paraId="6F9136D5" w14:textId="77777777" w:rsidR="0084542F" w:rsidRPr="004439D0" w:rsidRDefault="0084542F" w:rsidP="00992EC7">
      <w:pPr>
        <w:spacing w:line="276" w:lineRule="auto"/>
        <w:jc w:val="both"/>
        <w:rPr>
          <w:rFonts w:ascii="Verdana" w:hAnsi="Verdana" w:cs="Helvetica"/>
          <w:sz w:val="22"/>
          <w:szCs w:val="22"/>
        </w:rPr>
      </w:pPr>
    </w:p>
    <w:p w14:paraId="30F16CF6" w14:textId="77777777" w:rsidR="0084542F" w:rsidRPr="004439D0" w:rsidRDefault="0084542F" w:rsidP="00992EC7">
      <w:pPr>
        <w:spacing w:line="276" w:lineRule="auto"/>
        <w:jc w:val="both"/>
        <w:rPr>
          <w:rFonts w:ascii="Verdana" w:hAnsi="Verdana" w:cs="Helvetica"/>
          <w:sz w:val="22"/>
          <w:szCs w:val="22"/>
        </w:rPr>
      </w:pPr>
      <w:r w:rsidRPr="004439D0">
        <w:rPr>
          <w:rFonts w:ascii="Verdana" w:hAnsi="Verdana" w:cs="Helvetica"/>
          <w:sz w:val="22"/>
          <w:szCs w:val="22"/>
        </w:rPr>
        <w:t>Periódicamente se realizará el seguimiento por parte de la Subdirección de Riesgo, con el fin de evaluar el cumplimiento a los controles establecidos y medir la eficiencia y eficacia de dichos controles mediante los siguientes mecanismos:</w:t>
      </w:r>
    </w:p>
    <w:p w14:paraId="38EDDC47" w14:textId="77777777" w:rsidR="0084542F" w:rsidRPr="004439D0" w:rsidRDefault="0084542F" w:rsidP="00992EC7">
      <w:pPr>
        <w:spacing w:line="276" w:lineRule="auto"/>
        <w:jc w:val="both"/>
        <w:rPr>
          <w:rFonts w:ascii="Verdana" w:hAnsi="Verdana" w:cs="Helvetica"/>
          <w:sz w:val="22"/>
          <w:szCs w:val="22"/>
        </w:rPr>
      </w:pPr>
    </w:p>
    <w:p w14:paraId="18287181" w14:textId="71F04F11" w:rsidR="0084542F" w:rsidRPr="004439D0" w:rsidRDefault="004439D0" w:rsidP="00FC7D4F">
      <w:pPr>
        <w:pStyle w:val="Ttulo3"/>
        <w:numPr>
          <w:ilvl w:val="1"/>
          <w:numId w:val="24"/>
        </w:numPr>
        <w:ind w:hanging="578"/>
        <w:jc w:val="both"/>
        <w:rPr>
          <w:rFonts w:ascii="Verdana" w:hAnsi="Verdana" w:cs="Helvetica"/>
          <w:b/>
          <w:bCs/>
          <w:sz w:val="22"/>
          <w:szCs w:val="22"/>
        </w:rPr>
      </w:pPr>
      <w:bookmarkStart w:id="87" w:name="_Toc507771262"/>
      <w:bookmarkStart w:id="88" w:name="_Toc4590639"/>
      <w:bookmarkStart w:id="89" w:name="_Toc155883057"/>
      <w:r>
        <w:rPr>
          <w:rFonts w:ascii="Verdana" w:hAnsi="Verdana" w:cs="Helvetica"/>
          <w:b/>
          <w:bCs/>
          <w:sz w:val="22"/>
          <w:szCs w:val="22"/>
        </w:rPr>
        <w:t xml:space="preserve"> </w:t>
      </w:r>
      <w:r w:rsidR="0084542F" w:rsidRPr="004439D0">
        <w:rPr>
          <w:rFonts w:ascii="Verdana" w:hAnsi="Verdana" w:cs="Helvetica"/>
          <w:b/>
          <w:bCs/>
          <w:sz w:val="22"/>
          <w:szCs w:val="22"/>
        </w:rPr>
        <w:t>Registro de Eventos de Riesgo Operativo</w:t>
      </w:r>
      <w:bookmarkEnd w:id="87"/>
      <w:bookmarkEnd w:id="88"/>
      <w:bookmarkEnd w:id="89"/>
    </w:p>
    <w:p w14:paraId="62970FF1" w14:textId="77777777" w:rsidR="0084542F" w:rsidRPr="004439D0" w:rsidRDefault="0084542F" w:rsidP="00992EC7">
      <w:pPr>
        <w:spacing w:line="276" w:lineRule="auto"/>
        <w:jc w:val="both"/>
        <w:rPr>
          <w:rFonts w:ascii="Verdana" w:hAnsi="Verdana" w:cs="Helvetica"/>
          <w:color w:val="000000"/>
          <w:sz w:val="22"/>
          <w:szCs w:val="22"/>
        </w:rPr>
      </w:pPr>
    </w:p>
    <w:p w14:paraId="584B859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Todos los funcionarios de la DGCPTN son responsables cuando tengan conocimiento o evidencien la materialización de un evento de riesgo operativo de reportarlo a la Subdirección de Riesgo, la cual documentará el evento de riesgo con las evidencias que envíen las áreas, diligenciando el acta de registro del evento con la siguiente información: </w:t>
      </w:r>
    </w:p>
    <w:p w14:paraId="6450C10E" w14:textId="77777777" w:rsidR="0084542F" w:rsidRPr="004439D0" w:rsidRDefault="0084542F" w:rsidP="00992EC7">
      <w:pPr>
        <w:spacing w:line="276" w:lineRule="auto"/>
        <w:jc w:val="both"/>
        <w:rPr>
          <w:rFonts w:ascii="Verdana" w:hAnsi="Verdana" w:cs="Helvetica"/>
          <w:color w:val="000000"/>
          <w:sz w:val="22"/>
          <w:szCs w:val="22"/>
        </w:rPr>
      </w:pPr>
    </w:p>
    <w:p w14:paraId="090B0FB4"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Proceso</w:t>
      </w:r>
    </w:p>
    <w:p w14:paraId="08662929"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Subproceso</w:t>
      </w:r>
    </w:p>
    <w:p w14:paraId="5245C948"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Responsable del proceso</w:t>
      </w:r>
    </w:p>
    <w:p w14:paraId="5A47C29F"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Quien detecta el evento</w:t>
      </w:r>
    </w:p>
    <w:p w14:paraId="0E02241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Fecha de descubrimiento</w:t>
      </w:r>
    </w:p>
    <w:p w14:paraId="032EF6B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Fecha de inicio del evento</w:t>
      </w:r>
    </w:p>
    <w:p w14:paraId="3BBAE5ED"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Fecha de finalización del evento</w:t>
      </w:r>
    </w:p>
    <w:p w14:paraId="0C13981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Riesgo asociado</w:t>
      </w:r>
    </w:p>
    <w:p w14:paraId="66BE261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Descripción del evento</w:t>
      </w:r>
    </w:p>
    <w:p w14:paraId="27C7E64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Tipo de Impacto</w:t>
      </w:r>
    </w:p>
    <w:p w14:paraId="3AD9BB7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Cuantificación del impacto</w:t>
      </w:r>
    </w:p>
    <w:p w14:paraId="4DF961E7"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Causa principal generadora del evento</w:t>
      </w:r>
    </w:p>
    <w:p w14:paraId="732DB20F"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Causa secundaria</w:t>
      </w:r>
    </w:p>
    <w:p w14:paraId="3B14CCCE"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Descripción de la causa</w:t>
      </w:r>
    </w:p>
    <w:p w14:paraId="2801CF48"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Acción correctiva</w:t>
      </w:r>
    </w:p>
    <w:p w14:paraId="6879CBD4"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Descripción de la acción correctiva</w:t>
      </w:r>
    </w:p>
    <w:p w14:paraId="238D799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Acción preventiva</w:t>
      </w:r>
    </w:p>
    <w:p w14:paraId="057DFC62"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Descripción de la acción preventiva</w:t>
      </w:r>
    </w:p>
    <w:p w14:paraId="4D47F85E"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Responsable de implementar la acción</w:t>
      </w:r>
    </w:p>
    <w:p w14:paraId="5D1013E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Lecciones aprendidas</w:t>
      </w:r>
    </w:p>
    <w:p w14:paraId="4CD8520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Que salió bien</w:t>
      </w:r>
    </w:p>
    <w:p w14:paraId="21CF602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w:t>
      </w:r>
      <w:r w:rsidRPr="004439D0">
        <w:rPr>
          <w:rFonts w:ascii="Verdana" w:hAnsi="Verdana" w:cs="Helvetica"/>
          <w:color w:val="000000"/>
          <w:sz w:val="22"/>
          <w:szCs w:val="22"/>
        </w:rPr>
        <w:tab/>
        <w:t>Que se puede mejorar</w:t>
      </w:r>
    </w:p>
    <w:p w14:paraId="2BA7DBC8" w14:textId="77777777" w:rsidR="0084542F" w:rsidRPr="004439D0" w:rsidRDefault="0084542F" w:rsidP="00992EC7">
      <w:pPr>
        <w:spacing w:line="276" w:lineRule="auto"/>
        <w:jc w:val="both"/>
        <w:rPr>
          <w:rFonts w:ascii="Verdana" w:hAnsi="Verdana" w:cs="Helvetica"/>
          <w:color w:val="000000"/>
          <w:sz w:val="22"/>
          <w:szCs w:val="22"/>
        </w:rPr>
      </w:pPr>
    </w:p>
    <w:p w14:paraId="61A762E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La Subdirección de Riesgo llevará una base de datos con esta información y hará seguimiento a la implementación de los planes de acción para mitigar los riesgos.</w:t>
      </w:r>
    </w:p>
    <w:p w14:paraId="6D8AB459" w14:textId="77777777" w:rsidR="0084542F" w:rsidRPr="004439D0" w:rsidRDefault="0084542F" w:rsidP="00992EC7">
      <w:pPr>
        <w:pStyle w:val="Ttulo3"/>
        <w:jc w:val="both"/>
        <w:rPr>
          <w:rFonts w:ascii="Verdana" w:hAnsi="Verdana" w:cs="Helvetica"/>
          <w:sz w:val="22"/>
          <w:szCs w:val="22"/>
        </w:rPr>
      </w:pPr>
      <w:bookmarkStart w:id="90" w:name="_Toc507771263"/>
    </w:p>
    <w:p w14:paraId="7D35B882" w14:textId="4DAA3E4B" w:rsidR="0084542F" w:rsidRPr="004439D0" w:rsidRDefault="004439D0" w:rsidP="004439D0">
      <w:pPr>
        <w:pStyle w:val="Ttulo3"/>
        <w:numPr>
          <w:ilvl w:val="1"/>
          <w:numId w:val="24"/>
        </w:numPr>
        <w:ind w:hanging="578"/>
        <w:jc w:val="both"/>
        <w:rPr>
          <w:rFonts w:ascii="Verdana" w:hAnsi="Verdana" w:cs="Helvetica"/>
          <w:b/>
          <w:bCs/>
          <w:sz w:val="22"/>
          <w:szCs w:val="22"/>
        </w:rPr>
      </w:pPr>
      <w:bookmarkStart w:id="91" w:name="_Toc4590640"/>
      <w:bookmarkStart w:id="92" w:name="_Toc155883058"/>
      <w:r>
        <w:rPr>
          <w:rFonts w:ascii="Verdana" w:hAnsi="Verdana" w:cs="Helvetica"/>
          <w:b/>
          <w:bCs/>
          <w:sz w:val="22"/>
          <w:szCs w:val="22"/>
        </w:rPr>
        <w:t xml:space="preserve"> </w:t>
      </w:r>
      <w:r w:rsidR="0084542F" w:rsidRPr="004439D0">
        <w:rPr>
          <w:rFonts w:ascii="Verdana" w:hAnsi="Verdana" w:cs="Helvetica"/>
          <w:b/>
          <w:bCs/>
          <w:sz w:val="22"/>
          <w:szCs w:val="22"/>
        </w:rPr>
        <w:t>Inventario de Controles</w:t>
      </w:r>
      <w:bookmarkEnd w:id="90"/>
      <w:bookmarkEnd w:id="91"/>
      <w:bookmarkEnd w:id="92"/>
    </w:p>
    <w:p w14:paraId="10F44EF0" w14:textId="77777777" w:rsidR="0084542F" w:rsidRPr="004439D0" w:rsidRDefault="0084542F" w:rsidP="00992EC7">
      <w:pPr>
        <w:spacing w:line="276" w:lineRule="auto"/>
        <w:jc w:val="both"/>
        <w:rPr>
          <w:rFonts w:ascii="Verdana" w:hAnsi="Verdana" w:cs="Helvetica"/>
          <w:color w:val="000000"/>
          <w:sz w:val="22"/>
          <w:szCs w:val="22"/>
        </w:rPr>
      </w:pPr>
    </w:p>
    <w:p w14:paraId="0784FC79"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La Subdirección de Riesgos hará un inventario de controles de acuerdo con la información documentada en los procedimientos de la Dirección, a los controles sin documentar que se evidencien en las visitas de campo que realizará en cada una de las subdirecciones y a los planes de acción que se documenten en las actas de revisión de eventos de riesgo. </w:t>
      </w:r>
    </w:p>
    <w:p w14:paraId="13D652AD" w14:textId="77777777" w:rsidR="0084542F" w:rsidRPr="004439D0" w:rsidRDefault="0084542F" w:rsidP="00992EC7">
      <w:pPr>
        <w:spacing w:line="276" w:lineRule="auto"/>
        <w:jc w:val="both"/>
        <w:rPr>
          <w:rFonts w:ascii="Verdana" w:hAnsi="Verdana" w:cs="Helvetica"/>
          <w:color w:val="000000"/>
          <w:sz w:val="22"/>
          <w:szCs w:val="22"/>
        </w:rPr>
      </w:pPr>
    </w:p>
    <w:p w14:paraId="202E6A7A"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Este inventario lo monitoreará la Subdirección de Riesgos, cada área copiará a la Subdirección de Riesgo el reporte de ejecución del control cada vez que lo realice cuando el control es manual, para los controles que se ejecutan en una plataforma tecnológica, la Subdirección de Riesgo realizará el monitoreo mediante la consulta de los reportes y </w:t>
      </w:r>
      <w:r w:rsidRPr="004439D0">
        <w:rPr>
          <w:rFonts w:ascii="Verdana" w:hAnsi="Verdana" w:cs="Helvetica"/>
          <w:i/>
          <w:color w:val="000000"/>
          <w:sz w:val="22"/>
          <w:szCs w:val="22"/>
        </w:rPr>
        <w:t>log</w:t>
      </w:r>
      <w:r w:rsidRPr="004439D0">
        <w:rPr>
          <w:rFonts w:ascii="Verdana" w:hAnsi="Verdana" w:cs="Helvetica"/>
          <w:color w:val="000000"/>
          <w:sz w:val="22"/>
          <w:szCs w:val="22"/>
        </w:rPr>
        <w:t xml:space="preserve"> de auditoria de cada plataforma.</w:t>
      </w:r>
    </w:p>
    <w:p w14:paraId="2FB78391" w14:textId="77777777" w:rsidR="0084542F" w:rsidRPr="004439D0" w:rsidRDefault="0084542F" w:rsidP="00992EC7">
      <w:pPr>
        <w:spacing w:line="276" w:lineRule="auto"/>
        <w:jc w:val="both"/>
        <w:rPr>
          <w:rFonts w:ascii="Verdana" w:hAnsi="Verdana" w:cs="Helvetica"/>
          <w:color w:val="000000"/>
          <w:sz w:val="22"/>
          <w:szCs w:val="22"/>
        </w:rPr>
      </w:pPr>
    </w:p>
    <w:p w14:paraId="2E3F22D3" w14:textId="17249838" w:rsidR="0084542F" w:rsidRPr="004439D0" w:rsidRDefault="004439D0" w:rsidP="00FC7D4F">
      <w:pPr>
        <w:pStyle w:val="Ttulo3"/>
        <w:numPr>
          <w:ilvl w:val="1"/>
          <w:numId w:val="24"/>
        </w:numPr>
        <w:ind w:hanging="578"/>
        <w:jc w:val="both"/>
        <w:rPr>
          <w:rFonts w:ascii="Verdana" w:hAnsi="Verdana" w:cs="Helvetica"/>
          <w:sz w:val="22"/>
          <w:szCs w:val="22"/>
        </w:rPr>
      </w:pPr>
      <w:bookmarkStart w:id="93" w:name="_Toc507771264"/>
      <w:bookmarkStart w:id="94" w:name="_Toc4590641"/>
      <w:bookmarkStart w:id="95" w:name="_Toc155883059"/>
      <w:r>
        <w:rPr>
          <w:rStyle w:val="Ttulo3Car"/>
          <w:rFonts w:ascii="Verdana" w:hAnsi="Verdana" w:cs="Helvetica"/>
          <w:b/>
          <w:sz w:val="22"/>
          <w:szCs w:val="22"/>
        </w:rPr>
        <w:t xml:space="preserve"> </w:t>
      </w:r>
      <w:r w:rsidR="0084542F" w:rsidRPr="004439D0">
        <w:rPr>
          <w:rStyle w:val="Ttulo3Car"/>
          <w:rFonts w:ascii="Verdana" w:hAnsi="Verdana" w:cs="Helvetica"/>
          <w:b/>
          <w:sz w:val="22"/>
          <w:szCs w:val="22"/>
        </w:rPr>
        <w:t>Evaluación de Controles</w:t>
      </w:r>
      <w:bookmarkEnd w:id="93"/>
      <w:bookmarkEnd w:id="94"/>
      <w:bookmarkEnd w:id="95"/>
    </w:p>
    <w:p w14:paraId="4727C7A0" w14:textId="77777777" w:rsidR="0084542F" w:rsidRPr="004439D0" w:rsidRDefault="0084542F" w:rsidP="00992EC7">
      <w:pPr>
        <w:spacing w:line="276" w:lineRule="auto"/>
        <w:jc w:val="both"/>
        <w:rPr>
          <w:rFonts w:ascii="Verdana" w:hAnsi="Verdana" w:cs="Helvetica"/>
          <w:color w:val="000000"/>
          <w:sz w:val="22"/>
          <w:szCs w:val="22"/>
        </w:rPr>
      </w:pPr>
    </w:p>
    <w:p w14:paraId="5C223032"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La Subdirección de Riesgo realizará la evaluación de controles periódicamente, mediante la visita a cada una de las subdirecciones de acuerdo a la criticidad de cada proceso o la frecuencia de la materialización de los riesgos operativos, esta evaluación revisará los siguientes aspectos en cada control:</w:t>
      </w:r>
    </w:p>
    <w:p w14:paraId="5E075AA9"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Consecuencias y frecuencia por la omisión del control</w:t>
      </w:r>
    </w:p>
    <w:p w14:paraId="5B2DDD0F"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Nivel de relevancia del control</w:t>
      </w:r>
    </w:p>
    <w:p w14:paraId="09867639"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Evaluación del diseño del control</w:t>
      </w:r>
    </w:p>
    <w:p w14:paraId="06722028"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Tipo de control</w:t>
      </w:r>
    </w:p>
    <w:p w14:paraId="634861E4"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Nivel de cobertura del control</w:t>
      </w:r>
    </w:p>
    <w:p w14:paraId="6AE04CFB" w14:textId="77777777" w:rsidR="0084542F" w:rsidRPr="004439D0" w:rsidRDefault="0084542F" w:rsidP="00FC7D4F">
      <w:pPr>
        <w:pStyle w:val="Prrafodelista"/>
        <w:numPr>
          <w:ilvl w:val="0"/>
          <w:numId w:val="14"/>
        </w:numPr>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Frecuencia de ejecución del control</w:t>
      </w:r>
    </w:p>
    <w:p w14:paraId="39F61B44" w14:textId="77777777" w:rsidR="0084542F" w:rsidRPr="004439D0" w:rsidRDefault="0084542F" w:rsidP="00FC7D4F">
      <w:pPr>
        <w:pStyle w:val="Prrafodelista"/>
        <w:numPr>
          <w:ilvl w:val="0"/>
          <w:numId w:val="14"/>
        </w:numPr>
        <w:tabs>
          <w:tab w:val="left" w:pos="2310"/>
        </w:tabs>
        <w:spacing w:after="200" w:line="276" w:lineRule="auto"/>
        <w:contextualSpacing/>
        <w:jc w:val="both"/>
        <w:rPr>
          <w:rFonts w:ascii="Verdana" w:hAnsi="Verdana" w:cs="Helvetica"/>
          <w:color w:val="000000"/>
          <w:sz w:val="22"/>
          <w:szCs w:val="22"/>
        </w:rPr>
      </w:pPr>
      <w:r w:rsidRPr="004439D0">
        <w:rPr>
          <w:rFonts w:ascii="Verdana" w:hAnsi="Verdana" w:cs="Helvetica"/>
          <w:color w:val="000000"/>
          <w:sz w:val="22"/>
          <w:szCs w:val="22"/>
        </w:rPr>
        <w:t>Línea del control.</w:t>
      </w:r>
    </w:p>
    <w:p w14:paraId="3180D0B4" w14:textId="3276F821"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De acuerdo a esta evaluación se medirá la efectividad y eficiencia del control la cual determinará el </w:t>
      </w:r>
      <w:r w:rsidRPr="004439D0">
        <w:rPr>
          <w:rFonts w:ascii="Verdana" w:hAnsi="Verdana" w:cs="Helvetica"/>
          <w:i/>
          <w:color w:val="000000"/>
          <w:sz w:val="22"/>
          <w:szCs w:val="22"/>
        </w:rPr>
        <w:t>score</w:t>
      </w:r>
      <w:r w:rsidRPr="004439D0">
        <w:rPr>
          <w:rFonts w:ascii="Verdana" w:hAnsi="Verdana" w:cs="Helvetica"/>
          <w:color w:val="000000"/>
          <w:sz w:val="22"/>
          <w:szCs w:val="22"/>
        </w:rPr>
        <w:t xml:space="preserve"> del riesgo residual, tanto en su frecuencia como en el impacto.</w:t>
      </w:r>
    </w:p>
    <w:p w14:paraId="1919E507" w14:textId="77777777" w:rsidR="00FC7D4F" w:rsidRPr="004439D0" w:rsidRDefault="00FC7D4F" w:rsidP="00992EC7">
      <w:pPr>
        <w:spacing w:line="276" w:lineRule="auto"/>
        <w:jc w:val="both"/>
        <w:rPr>
          <w:rFonts w:ascii="Verdana" w:hAnsi="Verdana" w:cs="Helvetica"/>
          <w:color w:val="000000"/>
          <w:sz w:val="22"/>
          <w:szCs w:val="22"/>
        </w:rPr>
      </w:pPr>
    </w:p>
    <w:p w14:paraId="35D34A6E" w14:textId="2B163E41" w:rsidR="0084542F" w:rsidRPr="004439D0" w:rsidRDefault="004439D0" w:rsidP="00FC7D4F">
      <w:pPr>
        <w:pStyle w:val="Ttulo2"/>
        <w:numPr>
          <w:ilvl w:val="0"/>
          <w:numId w:val="24"/>
        </w:numPr>
        <w:spacing w:line="276" w:lineRule="auto"/>
        <w:rPr>
          <w:rFonts w:ascii="Verdana" w:hAnsi="Verdana" w:cs="Helvetica"/>
          <w:sz w:val="22"/>
          <w:szCs w:val="22"/>
        </w:rPr>
      </w:pPr>
      <w:bookmarkStart w:id="96" w:name="_Toc507771265"/>
      <w:bookmarkStart w:id="97" w:name="_Toc4590642"/>
      <w:bookmarkStart w:id="98" w:name="_Toc155883060"/>
      <w:r>
        <w:rPr>
          <w:rFonts w:ascii="Verdana" w:hAnsi="Verdana" w:cs="Helvetica"/>
          <w:sz w:val="22"/>
          <w:szCs w:val="22"/>
        </w:rPr>
        <w:t xml:space="preserve"> </w:t>
      </w:r>
      <w:r w:rsidR="0084542F" w:rsidRPr="004439D0">
        <w:rPr>
          <w:rFonts w:ascii="Verdana" w:hAnsi="Verdana" w:cs="Helvetica"/>
          <w:sz w:val="22"/>
          <w:szCs w:val="22"/>
        </w:rPr>
        <w:t>Indicadores Claves de Gestión</w:t>
      </w:r>
      <w:bookmarkEnd w:id="96"/>
      <w:bookmarkEnd w:id="97"/>
      <w:bookmarkEnd w:id="98"/>
    </w:p>
    <w:p w14:paraId="05DB2AEB" w14:textId="77777777" w:rsidR="0084542F" w:rsidRPr="004439D0" w:rsidRDefault="0084542F" w:rsidP="00992EC7">
      <w:pPr>
        <w:spacing w:line="276" w:lineRule="auto"/>
        <w:jc w:val="both"/>
        <w:rPr>
          <w:rFonts w:ascii="Verdana" w:hAnsi="Verdana" w:cs="Helvetica"/>
          <w:sz w:val="22"/>
          <w:szCs w:val="22"/>
        </w:rPr>
      </w:pPr>
    </w:p>
    <w:p w14:paraId="440A1B63" w14:textId="77777777" w:rsidR="0084542F" w:rsidRPr="004439D0" w:rsidRDefault="0084542F" w:rsidP="00992EC7">
      <w:pPr>
        <w:pStyle w:val="Default"/>
        <w:spacing w:line="276" w:lineRule="auto"/>
        <w:jc w:val="both"/>
        <w:rPr>
          <w:rFonts w:ascii="Verdana" w:hAnsi="Verdana" w:cs="Helvetica"/>
          <w:sz w:val="22"/>
          <w:szCs w:val="22"/>
        </w:rPr>
      </w:pPr>
      <w:r w:rsidRPr="004439D0">
        <w:rPr>
          <w:rFonts w:ascii="Verdana" w:hAnsi="Verdana" w:cs="Helvetica"/>
          <w:sz w:val="22"/>
          <w:szCs w:val="22"/>
        </w:rPr>
        <w:t>También conocidos por sus siglas en inglés como KRI´s (</w:t>
      </w:r>
      <w:r w:rsidRPr="004439D0">
        <w:rPr>
          <w:rFonts w:ascii="Verdana" w:hAnsi="Verdana" w:cs="Helvetica"/>
          <w:i/>
          <w:sz w:val="22"/>
          <w:szCs w:val="22"/>
        </w:rPr>
        <w:t>Key Risk Indicators</w:t>
      </w:r>
      <w:r w:rsidRPr="004439D0">
        <w:rPr>
          <w:rFonts w:ascii="Verdana" w:hAnsi="Verdana" w:cs="Helvetica"/>
          <w:sz w:val="22"/>
          <w:szCs w:val="22"/>
        </w:rPr>
        <w:t>). Los indicadores de riesgo claves son métricas, con frecuencias financieras, que pueden proporcionar información sobre la posición de riesgo operativo que puede afrontar la DGCPTN.</w:t>
      </w:r>
    </w:p>
    <w:p w14:paraId="52C990A3" w14:textId="77777777" w:rsidR="0084542F" w:rsidRPr="004439D0" w:rsidRDefault="0084542F" w:rsidP="00992EC7">
      <w:pPr>
        <w:pStyle w:val="Default"/>
        <w:spacing w:line="276" w:lineRule="auto"/>
        <w:jc w:val="both"/>
        <w:rPr>
          <w:rFonts w:ascii="Verdana" w:hAnsi="Verdana" w:cs="Helvetica"/>
          <w:sz w:val="22"/>
          <w:szCs w:val="22"/>
        </w:rPr>
      </w:pPr>
    </w:p>
    <w:p w14:paraId="19BE97BB" w14:textId="77777777" w:rsidR="0084542F" w:rsidRPr="004439D0" w:rsidRDefault="0084542F" w:rsidP="00992EC7">
      <w:pPr>
        <w:pStyle w:val="Default"/>
        <w:spacing w:line="276" w:lineRule="auto"/>
        <w:jc w:val="both"/>
        <w:rPr>
          <w:rFonts w:ascii="Verdana" w:hAnsi="Verdana" w:cs="Helvetica"/>
          <w:sz w:val="22"/>
          <w:szCs w:val="22"/>
        </w:rPr>
      </w:pPr>
      <w:r w:rsidRPr="004439D0">
        <w:rPr>
          <w:rFonts w:ascii="Verdana" w:hAnsi="Verdana" w:cs="Helvetica"/>
          <w:sz w:val="22"/>
          <w:szCs w:val="22"/>
        </w:rPr>
        <w:t xml:space="preserve">Estos indicadores son determinados con base en factores como los siguientes: </w:t>
      </w:r>
    </w:p>
    <w:p w14:paraId="3FCFA498" w14:textId="77777777" w:rsidR="0084542F" w:rsidRPr="004439D0" w:rsidRDefault="0084542F" w:rsidP="00992EC7">
      <w:pPr>
        <w:pStyle w:val="Default"/>
        <w:spacing w:line="276" w:lineRule="auto"/>
        <w:jc w:val="both"/>
        <w:rPr>
          <w:rFonts w:ascii="Verdana" w:hAnsi="Verdana" w:cs="Helvetica"/>
          <w:sz w:val="22"/>
          <w:szCs w:val="22"/>
        </w:rPr>
      </w:pPr>
    </w:p>
    <w:p w14:paraId="1BEA35E2" w14:textId="77777777" w:rsidR="0084542F" w:rsidRPr="004439D0" w:rsidRDefault="0084542F" w:rsidP="00FC7D4F">
      <w:pPr>
        <w:pStyle w:val="Default"/>
        <w:numPr>
          <w:ilvl w:val="0"/>
          <w:numId w:val="10"/>
        </w:numPr>
        <w:spacing w:line="276" w:lineRule="auto"/>
        <w:ind w:left="709" w:hanging="283"/>
        <w:jc w:val="both"/>
        <w:rPr>
          <w:rFonts w:ascii="Verdana" w:hAnsi="Verdana" w:cs="Helvetica"/>
          <w:sz w:val="22"/>
          <w:szCs w:val="22"/>
        </w:rPr>
      </w:pPr>
      <w:r w:rsidRPr="004439D0">
        <w:rPr>
          <w:rFonts w:ascii="Verdana" w:hAnsi="Verdana" w:cs="Helvetica"/>
          <w:sz w:val="22"/>
          <w:szCs w:val="22"/>
        </w:rPr>
        <w:t>Alcance y significancia del riesgo que se está midiendo</w:t>
      </w:r>
    </w:p>
    <w:p w14:paraId="0321F0B4" w14:textId="77777777" w:rsidR="0084542F" w:rsidRPr="004439D0" w:rsidRDefault="0084542F" w:rsidP="00FC7D4F">
      <w:pPr>
        <w:pStyle w:val="Default"/>
        <w:numPr>
          <w:ilvl w:val="0"/>
          <w:numId w:val="10"/>
        </w:numPr>
        <w:spacing w:line="276" w:lineRule="auto"/>
        <w:ind w:left="709" w:hanging="283"/>
        <w:jc w:val="both"/>
        <w:rPr>
          <w:rFonts w:ascii="Verdana" w:hAnsi="Verdana" w:cs="Helvetica"/>
          <w:sz w:val="22"/>
          <w:szCs w:val="22"/>
        </w:rPr>
      </w:pPr>
      <w:r w:rsidRPr="004439D0">
        <w:rPr>
          <w:rFonts w:ascii="Verdana" w:hAnsi="Verdana" w:cs="Helvetica"/>
          <w:sz w:val="22"/>
          <w:szCs w:val="22"/>
        </w:rPr>
        <w:t>Importancia para la Alta Dirección.</w:t>
      </w:r>
    </w:p>
    <w:p w14:paraId="481BD573" w14:textId="77777777" w:rsidR="0084542F" w:rsidRPr="004439D0" w:rsidRDefault="0084542F" w:rsidP="00992EC7">
      <w:pPr>
        <w:pStyle w:val="Default"/>
        <w:spacing w:line="276" w:lineRule="auto"/>
        <w:jc w:val="both"/>
        <w:rPr>
          <w:rFonts w:ascii="Verdana" w:hAnsi="Verdana" w:cs="Helvetica"/>
          <w:sz w:val="22"/>
          <w:szCs w:val="22"/>
        </w:rPr>
      </w:pPr>
    </w:p>
    <w:p w14:paraId="6ED86F20" w14:textId="77777777" w:rsidR="0084542F" w:rsidRPr="004439D0" w:rsidRDefault="0084542F" w:rsidP="00992EC7">
      <w:pPr>
        <w:pStyle w:val="Default"/>
        <w:spacing w:line="276" w:lineRule="auto"/>
        <w:jc w:val="both"/>
        <w:rPr>
          <w:rFonts w:ascii="Verdana" w:hAnsi="Verdana" w:cs="Helvetica"/>
          <w:sz w:val="22"/>
          <w:szCs w:val="22"/>
        </w:rPr>
      </w:pPr>
      <w:r w:rsidRPr="004439D0">
        <w:rPr>
          <w:rFonts w:ascii="Verdana" w:hAnsi="Verdana" w:cs="Helvetica"/>
          <w:sz w:val="22"/>
          <w:szCs w:val="22"/>
        </w:rPr>
        <w:t>El indicador principal de riesgo operativo será el perfil de riesgo residual de la DGCPTN, la fórmula de cálculo será el valor promedio de la probabilidad y del impacto de todos los riesgos evaluados después de aplicar controles como se muestra a continuación:</w:t>
      </w:r>
    </w:p>
    <w:p w14:paraId="002C0103" w14:textId="77777777" w:rsidR="0084542F" w:rsidRPr="004439D0" w:rsidRDefault="0084542F" w:rsidP="00992EC7">
      <w:pPr>
        <w:pStyle w:val="Default"/>
        <w:spacing w:line="276" w:lineRule="auto"/>
        <w:jc w:val="both"/>
        <w:rPr>
          <w:rFonts w:ascii="Verdana" w:hAnsi="Verdana" w:cs="Helvetica"/>
          <w:sz w:val="22"/>
          <w:szCs w:val="22"/>
        </w:rPr>
      </w:pPr>
    </w:p>
    <w:tbl>
      <w:tblPr>
        <w:tblW w:w="8940" w:type="dxa"/>
        <w:tblCellSpacing w:w="0" w:type="dxa"/>
        <w:tblInd w:w="1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61"/>
        <w:gridCol w:w="6370"/>
      </w:tblGrid>
      <w:tr w:rsidR="0084542F" w:rsidRPr="004439D0" w14:paraId="60A62849" w14:textId="77777777" w:rsidTr="00AA5CA8">
        <w:trPr>
          <w:trHeight w:val="930"/>
          <w:tblCellSpacing w:w="0" w:type="dxa"/>
        </w:trPr>
        <w:tc>
          <w:tcPr>
            <w:tcW w:w="709" w:type="dxa"/>
            <w:shd w:val="clear" w:color="auto" w:fill="FF3300"/>
          </w:tcPr>
          <w:p w14:paraId="332F703C" w14:textId="77777777" w:rsidR="0084542F" w:rsidRPr="004439D0" w:rsidRDefault="0084542F" w:rsidP="00992EC7">
            <w:pPr>
              <w:spacing w:line="276" w:lineRule="auto"/>
              <w:ind w:left="-30"/>
              <w:jc w:val="both"/>
              <w:rPr>
                <w:rFonts w:ascii="Verdana" w:hAnsi="Verdana" w:cs="Helvetica"/>
                <w:sz w:val="22"/>
                <w:szCs w:val="22"/>
              </w:rPr>
            </w:pPr>
          </w:p>
        </w:tc>
        <w:tc>
          <w:tcPr>
            <w:tcW w:w="1861" w:type="dxa"/>
            <w:vAlign w:val="center"/>
          </w:tcPr>
          <w:p w14:paraId="3DF184B7"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Extremo</w:t>
            </w:r>
          </w:p>
        </w:tc>
        <w:tc>
          <w:tcPr>
            <w:tcW w:w="6370" w:type="dxa"/>
            <w:vAlign w:val="center"/>
          </w:tcPr>
          <w:p w14:paraId="757D3D50"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con frecuencia de ocurrencia alta; no existen los suficientes controles y planes de contingencia, o los actuales resultan insuficientes. (No Aceptado por la DGCPTN.)</w:t>
            </w:r>
          </w:p>
        </w:tc>
      </w:tr>
      <w:tr w:rsidR="0084542F" w:rsidRPr="004439D0" w14:paraId="656E3F94" w14:textId="77777777" w:rsidTr="00AA5CA8">
        <w:trPr>
          <w:trHeight w:val="930"/>
          <w:tblCellSpacing w:w="0" w:type="dxa"/>
        </w:trPr>
        <w:tc>
          <w:tcPr>
            <w:tcW w:w="709" w:type="dxa"/>
            <w:tcBorders>
              <w:top w:val="single" w:sz="8" w:space="0" w:color="000000"/>
              <w:bottom w:val="single" w:sz="8" w:space="0" w:color="000000"/>
            </w:tcBorders>
            <w:shd w:val="clear" w:color="auto" w:fill="FF6600"/>
          </w:tcPr>
          <w:p w14:paraId="61646D08" w14:textId="77777777" w:rsidR="0084542F" w:rsidRPr="004439D0" w:rsidRDefault="0084542F" w:rsidP="00992EC7">
            <w:pPr>
              <w:spacing w:line="276" w:lineRule="auto"/>
              <w:jc w:val="both"/>
              <w:rPr>
                <w:rFonts w:ascii="Verdana" w:hAnsi="Verdana" w:cs="Helvetica"/>
                <w:sz w:val="22"/>
                <w:szCs w:val="22"/>
              </w:rPr>
            </w:pPr>
          </w:p>
        </w:tc>
        <w:tc>
          <w:tcPr>
            <w:tcW w:w="1861" w:type="dxa"/>
            <w:vAlign w:val="center"/>
          </w:tcPr>
          <w:p w14:paraId="64B7B70D"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Alto</w:t>
            </w:r>
          </w:p>
        </w:tc>
        <w:tc>
          <w:tcPr>
            <w:tcW w:w="6370" w:type="dxa"/>
            <w:vAlign w:val="center"/>
          </w:tcPr>
          <w:p w14:paraId="76F6642E"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que pueden tener o no una frecuencia de ocurrencia alta, pero que comparten el hecho de que los controles actuales y planes de contingencia pueden mejorarse. (No Aceptado por la DGCPTN.)</w:t>
            </w:r>
          </w:p>
        </w:tc>
      </w:tr>
      <w:tr w:rsidR="0084542F" w:rsidRPr="004439D0" w14:paraId="1861CB95" w14:textId="77777777" w:rsidTr="00AA5CA8">
        <w:trPr>
          <w:trHeight w:val="930"/>
          <w:tblCellSpacing w:w="0" w:type="dxa"/>
        </w:trPr>
        <w:tc>
          <w:tcPr>
            <w:tcW w:w="709" w:type="dxa"/>
            <w:shd w:val="clear" w:color="auto" w:fill="FFFF66"/>
          </w:tcPr>
          <w:p w14:paraId="518A0F2B" w14:textId="77777777" w:rsidR="0084542F" w:rsidRPr="004439D0" w:rsidRDefault="0084542F" w:rsidP="00992EC7">
            <w:pPr>
              <w:spacing w:line="276" w:lineRule="auto"/>
              <w:ind w:left="720"/>
              <w:jc w:val="both"/>
              <w:rPr>
                <w:rFonts w:ascii="Verdana" w:hAnsi="Verdana" w:cs="Helvetica"/>
                <w:sz w:val="22"/>
                <w:szCs w:val="22"/>
              </w:rPr>
            </w:pPr>
          </w:p>
        </w:tc>
        <w:tc>
          <w:tcPr>
            <w:tcW w:w="1861" w:type="dxa"/>
            <w:vAlign w:val="center"/>
          </w:tcPr>
          <w:p w14:paraId="3874CEDF"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Moderado</w:t>
            </w:r>
          </w:p>
        </w:tc>
        <w:tc>
          <w:tcPr>
            <w:tcW w:w="6370" w:type="dxa"/>
            <w:vAlign w:val="center"/>
          </w:tcPr>
          <w:p w14:paraId="74310A37"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Riesgos de ocurrencia no muy frecuente, aunque probable; para los cuales existen adecuados controles y planes de contingencia.</w:t>
            </w:r>
          </w:p>
        </w:tc>
      </w:tr>
      <w:tr w:rsidR="0084542F" w:rsidRPr="004439D0" w14:paraId="500DA369" w14:textId="77777777" w:rsidTr="00AA5CA8">
        <w:trPr>
          <w:trHeight w:val="930"/>
          <w:tblCellSpacing w:w="0" w:type="dxa"/>
        </w:trPr>
        <w:tc>
          <w:tcPr>
            <w:tcW w:w="709" w:type="dxa"/>
            <w:shd w:val="clear" w:color="auto" w:fill="00CC00"/>
          </w:tcPr>
          <w:p w14:paraId="7ACBC04F" w14:textId="77777777" w:rsidR="0084542F" w:rsidRPr="004439D0" w:rsidRDefault="0084542F" w:rsidP="00992EC7">
            <w:pPr>
              <w:spacing w:line="276" w:lineRule="auto"/>
              <w:ind w:left="720"/>
              <w:jc w:val="both"/>
              <w:rPr>
                <w:rFonts w:ascii="Verdana" w:hAnsi="Verdana" w:cs="Helvetica"/>
                <w:sz w:val="22"/>
                <w:szCs w:val="22"/>
              </w:rPr>
            </w:pPr>
          </w:p>
        </w:tc>
        <w:tc>
          <w:tcPr>
            <w:tcW w:w="1861" w:type="dxa"/>
            <w:vAlign w:val="center"/>
          </w:tcPr>
          <w:p w14:paraId="759D84D7" w14:textId="77777777" w:rsidR="0084542F" w:rsidRPr="004439D0" w:rsidRDefault="0084542F" w:rsidP="00992EC7">
            <w:pPr>
              <w:spacing w:line="276" w:lineRule="auto"/>
              <w:ind w:left="160"/>
              <w:jc w:val="both"/>
              <w:rPr>
                <w:rFonts w:ascii="Verdana" w:hAnsi="Verdana" w:cs="Helvetica"/>
                <w:sz w:val="22"/>
                <w:szCs w:val="22"/>
              </w:rPr>
            </w:pPr>
            <w:r w:rsidRPr="004439D0">
              <w:rPr>
                <w:rFonts w:ascii="Verdana" w:hAnsi="Verdana" w:cs="Helvetica"/>
                <w:sz w:val="22"/>
                <w:szCs w:val="22"/>
              </w:rPr>
              <w:t>Riesgo Bajo</w:t>
            </w:r>
          </w:p>
        </w:tc>
        <w:tc>
          <w:tcPr>
            <w:tcW w:w="6370" w:type="dxa"/>
            <w:vAlign w:val="center"/>
          </w:tcPr>
          <w:p w14:paraId="36FE2CE8" w14:textId="77777777" w:rsidR="0084542F" w:rsidRPr="004439D0" w:rsidRDefault="0084542F" w:rsidP="00992EC7">
            <w:pPr>
              <w:spacing w:line="276" w:lineRule="auto"/>
              <w:ind w:left="99"/>
              <w:jc w:val="both"/>
              <w:rPr>
                <w:rFonts w:ascii="Verdana" w:hAnsi="Verdana" w:cs="Helvetica"/>
                <w:sz w:val="22"/>
                <w:szCs w:val="22"/>
              </w:rPr>
            </w:pPr>
            <w:r w:rsidRPr="004439D0">
              <w:rPr>
                <w:rFonts w:ascii="Verdana" w:hAnsi="Verdana" w:cs="Helvetica"/>
                <w:sz w:val="22"/>
                <w:szCs w:val="22"/>
              </w:rPr>
              <w:t>Corresponden a aquellos riesgos de ocurrencia poco probable, para los cuales existen adecuados controles y planes de contingencia</w:t>
            </w:r>
          </w:p>
        </w:tc>
      </w:tr>
    </w:tbl>
    <w:p w14:paraId="3642D8E6" w14:textId="77777777" w:rsidR="0084542F" w:rsidRPr="004439D0" w:rsidRDefault="0084542F" w:rsidP="00992EC7">
      <w:pPr>
        <w:pStyle w:val="Default"/>
        <w:spacing w:line="276" w:lineRule="auto"/>
        <w:jc w:val="both"/>
        <w:rPr>
          <w:rFonts w:ascii="Verdana" w:hAnsi="Verdana" w:cs="Helvetica"/>
          <w:sz w:val="22"/>
          <w:szCs w:val="22"/>
        </w:rPr>
      </w:pPr>
    </w:p>
    <w:p w14:paraId="3D87BCA8" w14:textId="77777777" w:rsidR="0084542F" w:rsidRPr="004439D0" w:rsidRDefault="0084542F" w:rsidP="00992EC7">
      <w:pPr>
        <w:pStyle w:val="Default"/>
        <w:spacing w:line="276" w:lineRule="auto"/>
        <w:jc w:val="both"/>
        <w:rPr>
          <w:rFonts w:ascii="Verdana" w:hAnsi="Verdana" w:cs="Helvetica"/>
          <w:sz w:val="22"/>
          <w:szCs w:val="22"/>
        </w:rPr>
      </w:pPr>
      <w:r w:rsidRPr="004439D0">
        <w:rPr>
          <w:rFonts w:ascii="Verdana" w:hAnsi="Verdana" w:cs="Helvetica"/>
          <w:sz w:val="22"/>
          <w:szCs w:val="22"/>
        </w:rPr>
        <w:t>El nivel aceptado por la DGCPTN es el riesgo moderado, de igual forma se debe calcular el perfil de riesgo residual de cada proceso de la DGCPTN y cada Subdirección, para identificar alertas tempranas en cada proceso.</w:t>
      </w:r>
    </w:p>
    <w:p w14:paraId="1B5D4F5A" w14:textId="77777777" w:rsidR="0084542F" w:rsidRPr="004439D0" w:rsidRDefault="0084542F" w:rsidP="00992EC7">
      <w:pPr>
        <w:pStyle w:val="Default"/>
        <w:spacing w:line="276" w:lineRule="auto"/>
        <w:jc w:val="both"/>
        <w:rPr>
          <w:rFonts w:ascii="Verdana" w:hAnsi="Verdana" w:cs="Helvetica"/>
          <w:sz w:val="22"/>
          <w:szCs w:val="22"/>
        </w:rPr>
      </w:pPr>
    </w:p>
    <w:p w14:paraId="65B9ECC3" w14:textId="77777777" w:rsidR="0084542F" w:rsidRPr="004439D0" w:rsidRDefault="0084542F" w:rsidP="00992EC7">
      <w:pPr>
        <w:pStyle w:val="Default"/>
        <w:spacing w:line="276" w:lineRule="auto"/>
        <w:jc w:val="both"/>
        <w:rPr>
          <w:rFonts w:ascii="Verdana" w:hAnsi="Verdana" w:cs="Helvetica"/>
          <w:sz w:val="22"/>
          <w:szCs w:val="22"/>
        </w:rPr>
      </w:pPr>
      <w:r w:rsidRPr="004439D0">
        <w:rPr>
          <w:rFonts w:ascii="Verdana" w:hAnsi="Verdana" w:cs="Helvetica"/>
          <w:sz w:val="22"/>
          <w:szCs w:val="22"/>
        </w:rPr>
        <w:t>Las distintas áreas de la Dirección pueden utilizar estos indicadores para identificar y vigilar los riesgos operativos de mayor significancia y las tendencias resultantes pueden indicar algunas alertas tempranas. Estos indicadores pueden ayudar en la previsión de ocurrencia de riesgos específicos. Por ejemplo, los indicadores pueden señalar problemas en un determinado proceso que podrían implicar pérdidas operativas, lo que puede dar lugar a adoptar nuevas medidas en pos de reducir los efectos de riesgos no cubiertos.</w:t>
      </w:r>
    </w:p>
    <w:p w14:paraId="28BCD01B" w14:textId="77777777" w:rsidR="0084542F" w:rsidRPr="004439D0" w:rsidRDefault="0084542F" w:rsidP="00992EC7">
      <w:pPr>
        <w:pStyle w:val="Default"/>
        <w:spacing w:line="276" w:lineRule="auto"/>
        <w:jc w:val="both"/>
        <w:rPr>
          <w:rFonts w:ascii="Verdana" w:hAnsi="Verdana" w:cs="Helvetica"/>
          <w:sz w:val="22"/>
          <w:szCs w:val="22"/>
        </w:rPr>
      </w:pPr>
    </w:p>
    <w:p w14:paraId="6E88586C" w14:textId="101EDD8F" w:rsidR="0084542F" w:rsidRPr="004439D0" w:rsidRDefault="0084542F" w:rsidP="00992EC7">
      <w:pPr>
        <w:autoSpaceDE w:val="0"/>
        <w:autoSpaceDN w:val="0"/>
        <w:adjustRightInd w:val="0"/>
        <w:spacing w:line="276" w:lineRule="auto"/>
        <w:jc w:val="both"/>
        <w:rPr>
          <w:rFonts w:ascii="Verdana" w:hAnsi="Verdana" w:cs="Helvetica"/>
          <w:color w:val="000000"/>
          <w:sz w:val="22"/>
          <w:szCs w:val="22"/>
        </w:rPr>
      </w:pPr>
      <w:r w:rsidRPr="004439D0">
        <w:rPr>
          <w:rFonts w:ascii="Verdana" w:hAnsi="Verdana" w:cs="Helvetica"/>
          <w:color w:val="000000"/>
          <w:sz w:val="22"/>
          <w:szCs w:val="22"/>
        </w:rPr>
        <w:t>Estos indicadores deberán ser preventivos y reflejar las causas potenciales de riesgo operativo, como pueden ser un crecimiento acelerado, la implementación de nuevos productos, la rotación de los efectivos, interrupciones en las operaciones, interrupciones en el sistema, etc. Cuando estos indicadores se asignan a unos límites máximos, un proceso de seguimiento eficaz puede ayudar a identificar los principales riesgos de forma transparente y permitir que la entidad reaccione ante los mismos de forma adecuada.</w:t>
      </w:r>
    </w:p>
    <w:p w14:paraId="0B267944" w14:textId="77777777" w:rsidR="0084542F" w:rsidRPr="004439D0" w:rsidRDefault="0084542F" w:rsidP="00992EC7">
      <w:pPr>
        <w:autoSpaceDE w:val="0"/>
        <w:autoSpaceDN w:val="0"/>
        <w:adjustRightInd w:val="0"/>
        <w:spacing w:line="276" w:lineRule="auto"/>
        <w:jc w:val="both"/>
        <w:rPr>
          <w:rFonts w:ascii="Verdana" w:hAnsi="Verdana" w:cs="Helvetica"/>
          <w:color w:val="000000"/>
          <w:sz w:val="22"/>
          <w:szCs w:val="22"/>
        </w:rPr>
      </w:pPr>
    </w:p>
    <w:p w14:paraId="7FB52569" w14:textId="0F5F1FDA" w:rsidR="0084542F" w:rsidRPr="004439D0" w:rsidRDefault="004439D0" w:rsidP="00FC7D4F">
      <w:pPr>
        <w:pStyle w:val="Ttulo2"/>
        <w:numPr>
          <w:ilvl w:val="0"/>
          <w:numId w:val="24"/>
        </w:numPr>
        <w:spacing w:line="276" w:lineRule="auto"/>
        <w:rPr>
          <w:rFonts w:ascii="Verdana" w:hAnsi="Verdana" w:cs="Helvetica"/>
          <w:color w:val="000000"/>
          <w:sz w:val="22"/>
          <w:szCs w:val="22"/>
        </w:rPr>
      </w:pPr>
      <w:bookmarkStart w:id="99" w:name="_Toc4590643"/>
      <w:bookmarkStart w:id="100" w:name="_Toc155883061"/>
      <w:r>
        <w:rPr>
          <w:rFonts w:ascii="Verdana" w:hAnsi="Verdana" w:cs="Helvetica"/>
          <w:sz w:val="22"/>
          <w:szCs w:val="22"/>
        </w:rPr>
        <w:t xml:space="preserve"> </w:t>
      </w:r>
      <w:r w:rsidR="0084542F" w:rsidRPr="004439D0">
        <w:rPr>
          <w:rFonts w:ascii="Verdana" w:hAnsi="Verdana" w:cs="Helvetica"/>
          <w:sz w:val="22"/>
          <w:szCs w:val="22"/>
        </w:rPr>
        <w:t>Seguros</w:t>
      </w:r>
      <w:bookmarkEnd w:id="99"/>
      <w:bookmarkEnd w:id="100"/>
    </w:p>
    <w:p w14:paraId="636928D9" w14:textId="77777777" w:rsidR="0084542F" w:rsidRPr="004439D0" w:rsidRDefault="0084542F" w:rsidP="00992EC7">
      <w:pPr>
        <w:spacing w:line="276" w:lineRule="auto"/>
        <w:jc w:val="both"/>
        <w:rPr>
          <w:rFonts w:ascii="Verdana" w:hAnsi="Verdana" w:cs="Helvetica"/>
          <w:color w:val="000000"/>
          <w:sz w:val="22"/>
          <w:szCs w:val="22"/>
        </w:rPr>
      </w:pPr>
    </w:p>
    <w:p w14:paraId="545108D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Al interior del Ministerio de Hacienda y Crédito Público existen otras normas o políticas que hacen parte de la gestión del Riesgo Operativo y que ayudan a la Dirección a fortalecer su gestión con el fin de evitar posibles pérdidas no esperadas. </w:t>
      </w:r>
    </w:p>
    <w:p w14:paraId="43CCEB2F" w14:textId="77777777" w:rsidR="0084542F" w:rsidRPr="004439D0" w:rsidRDefault="0084542F" w:rsidP="00992EC7">
      <w:pPr>
        <w:spacing w:line="276" w:lineRule="auto"/>
        <w:jc w:val="both"/>
        <w:rPr>
          <w:rFonts w:ascii="Verdana" w:hAnsi="Verdana" w:cs="Helvetica"/>
          <w:sz w:val="22"/>
          <w:szCs w:val="22"/>
        </w:rPr>
      </w:pPr>
    </w:p>
    <w:p w14:paraId="27674411"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La Dirección cuenta con pólizas de seguros para la mitigación de riesgos, como una manera de transferir el riesgo de pérdidas de alta severidad. Estas pólizas de seguros son desarrolladas para equilibrar el costo de cobertura con el grado de mitigación de riesgo, teniendo en cuenta la medida en que el riesgo es realmente reducido. </w:t>
      </w:r>
    </w:p>
    <w:p w14:paraId="3FAAF96C" w14:textId="77777777" w:rsidR="0084542F" w:rsidRPr="004439D0" w:rsidRDefault="0084542F" w:rsidP="00992EC7">
      <w:pPr>
        <w:spacing w:line="276" w:lineRule="auto"/>
        <w:jc w:val="both"/>
        <w:rPr>
          <w:rFonts w:ascii="Verdana" w:hAnsi="Verdana" w:cs="Helvetica"/>
          <w:color w:val="000000"/>
          <w:sz w:val="22"/>
          <w:szCs w:val="22"/>
        </w:rPr>
      </w:pPr>
    </w:p>
    <w:p w14:paraId="1D2F7562" w14:textId="75247492"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Cada una de las áreas debe conocer las condiciones de cumplimiento de la póliza y acatar las políticas creadas para la adecuada cobertura de los riesgos.</w:t>
      </w:r>
    </w:p>
    <w:p w14:paraId="129905D8" w14:textId="7A2D51FB" w:rsidR="0084542F" w:rsidRPr="004439D0" w:rsidRDefault="0084542F" w:rsidP="00992EC7">
      <w:pPr>
        <w:spacing w:line="276" w:lineRule="auto"/>
        <w:jc w:val="both"/>
        <w:rPr>
          <w:rFonts w:ascii="Verdana" w:hAnsi="Verdana" w:cs="Helvetica"/>
          <w:b/>
          <w:bCs/>
          <w:sz w:val="22"/>
          <w:szCs w:val="22"/>
        </w:rPr>
      </w:pPr>
    </w:p>
    <w:p w14:paraId="40B6FF94" w14:textId="4F55B8AC" w:rsidR="0084542F" w:rsidRPr="004439D0" w:rsidRDefault="004439D0" w:rsidP="00FC7D4F">
      <w:pPr>
        <w:pStyle w:val="Ttulo2"/>
        <w:numPr>
          <w:ilvl w:val="0"/>
          <w:numId w:val="24"/>
        </w:numPr>
        <w:rPr>
          <w:rFonts w:ascii="Verdana" w:hAnsi="Verdana" w:cs="Helvetica"/>
          <w:sz w:val="22"/>
          <w:szCs w:val="22"/>
        </w:rPr>
      </w:pPr>
      <w:bookmarkStart w:id="101" w:name="_Toc507771268"/>
      <w:bookmarkStart w:id="102" w:name="_Toc4590644"/>
      <w:bookmarkStart w:id="103" w:name="_Toc155883062"/>
      <w:r>
        <w:rPr>
          <w:rFonts w:ascii="Verdana" w:hAnsi="Verdana" w:cs="Helvetica"/>
          <w:sz w:val="22"/>
          <w:szCs w:val="22"/>
        </w:rPr>
        <w:t xml:space="preserve"> </w:t>
      </w:r>
      <w:r w:rsidR="0084542F" w:rsidRPr="004439D0">
        <w:rPr>
          <w:rFonts w:ascii="Verdana" w:hAnsi="Verdana" w:cs="Helvetica"/>
          <w:sz w:val="22"/>
          <w:szCs w:val="22"/>
        </w:rPr>
        <w:t>Seguridad de la Información</w:t>
      </w:r>
      <w:bookmarkEnd w:id="101"/>
      <w:bookmarkEnd w:id="102"/>
      <w:bookmarkEnd w:id="103"/>
    </w:p>
    <w:p w14:paraId="4777957A" w14:textId="77777777" w:rsidR="0084542F" w:rsidRPr="004439D0" w:rsidRDefault="0084542F" w:rsidP="00992EC7">
      <w:pPr>
        <w:spacing w:line="276" w:lineRule="auto"/>
        <w:jc w:val="both"/>
        <w:rPr>
          <w:rFonts w:ascii="Verdana" w:hAnsi="Verdana" w:cs="Helvetica"/>
          <w:sz w:val="22"/>
          <w:szCs w:val="22"/>
        </w:rPr>
      </w:pPr>
    </w:p>
    <w:p w14:paraId="51AE3273"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Adicional a las políticas definidas anteriormente, la seguridad de la información en la DGCPTN será administrada siguiendo los siguientes principios básicos que fundamentan las políticas de seguridad de la información para la infraestructura tecnológica del MHCP:</w:t>
      </w:r>
    </w:p>
    <w:p w14:paraId="22D24A68" w14:textId="77777777" w:rsidR="0084542F" w:rsidRPr="004439D0" w:rsidRDefault="0084542F" w:rsidP="00992EC7">
      <w:pPr>
        <w:spacing w:line="276" w:lineRule="auto"/>
        <w:jc w:val="both"/>
        <w:rPr>
          <w:rFonts w:ascii="Verdana" w:hAnsi="Verdana" w:cs="Helvetica"/>
          <w:color w:val="000000"/>
          <w:sz w:val="22"/>
          <w:szCs w:val="22"/>
        </w:rPr>
      </w:pPr>
    </w:p>
    <w:p w14:paraId="787D4F72"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Autenticidad:</w:t>
      </w:r>
      <w:r w:rsidRPr="004439D0">
        <w:rPr>
          <w:rFonts w:ascii="Verdana" w:hAnsi="Verdana" w:cs="Helvetica"/>
          <w:color w:val="000000"/>
          <w:sz w:val="22"/>
          <w:szCs w:val="22"/>
        </w:rPr>
        <w:t xml:space="preserve"> La información requerida para el cumplimento de las funciones del MHCP debe ser veraz y estar debidamente autorizada</w:t>
      </w:r>
    </w:p>
    <w:p w14:paraId="7A5DB62E" w14:textId="77777777" w:rsidR="0084542F" w:rsidRPr="004439D0" w:rsidRDefault="0084542F" w:rsidP="00992EC7">
      <w:pPr>
        <w:spacing w:line="276" w:lineRule="auto"/>
        <w:jc w:val="both"/>
        <w:rPr>
          <w:rFonts w:ascii="Verdana" w:hAnsi="Verdana" w:cs="Helvetica"/>
          <w:color w:val="000000"/>
          <w:sz w:val="22"/>
          <w:szCs w:val="22"/>
        </w:rPr>
      </w:pPr>
    </w:p>
    <w:p w14:paraId="782306F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Confiabilidad:</w:t>
      </w:r>
      <w:r w:rsidRPr="004439D0">
        <w:rPr>
          <w:rFonts w:ascii="Verdana" w:hAnsi="Verdana" w:cs="Helvetica"/>
          <w:color w:val="000000"/>
          <w:sz w:val="22"/>
          <w:szCs w:val="22"/>
        </w:rPr>
        <w:t xml:space="preserve"> La información procesada por del MHCP tiene carácter confiable</w:t>
      </w:r>
    </w:p>
    <w:p w14:paraId="72CED5C5" w14:textId="77777777" w:rsidR="0084542F" w:rsidRPr="004439D0" w:rsidRDefault="0084542F" w:rsidP="00992EC7">
      <w:pPr>
        <w:spacing w:line="276" w:lineRule="auto"/>
        <w:jc w:val="both"/>
        <w:rPr>
          <w:rFonts w:ascii="Verdana" w:hAnsi="Verdana" w:cs="Helvetica"/>
          <w:color w:val="000000"/>
          <w:sz w:val="22"/>
          <w:szCs w:val="22"/>
        </w:rPr>
      </w:pPr>
    </w:p>
    <w:p w14:paraId="03EBCEA5"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Confidencialidad:</w:t>
      </w:r>
      <w:r w:rsidRPr="004439D0">
        <w:rPr>
          <w:rFonts w:ascii="Verdana" w:hAnsi="Verdana" w:cs="Helvetica"/>
          <w:color w:val="000000"/>
          <w:sz w:val="22"/>
          <w:szCs w:val="22"/>
        </w:rPr>
        <w:t xml:space="preserve"> La información del MHCP debe estar debidamente protegida para que solo el personal autorizado tenga acceso</w:t>
      </w:r>
    </w:p>
    <w:p w14:paraId="08634EF6" w14:textId="77777777" w:rsidR="0084542F" w:rsidRPr="004439D0" w:rsidRDefault="0084542F" w:rsidP="00992EC7">
      <w:pPr>
        <w:spacing w:line="276" w:lineRule="auto"/>
        <w:jc w:val="both"/>
        <w:rPr>
          <w:rFonts w:ascii="Verdana" w:hAnsi="Verdana" w:cs="Helvetica"/>
          <w:color w:val="000000"/>
          <w:sz w:val="22"/>
          <w:szCs w:val="22"/>
        </w:rPr>
      </w:pPr>
    </w:p>
    <w:p w14:paraId="64D8DDA0"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Disponibilidad:</w:t>
      </w:r>
      <w:r w:rsidRPr="004439D0">
        <w:rPr>
          <w:rFonts w:ascii="Verdana" w:hAnsi="Verdana" w:cs="Helvetica"/>
          <w:color w:val="000000"/>
          <w:sz w:val="22"/>
          <w:szCs w:val="22"/>
        </w:rPr>
        <w:t xml:space="preserve"> Los activos de información deben estar disponibles para soportar los objetivos de la función misional del MHCP</w:t>
      </w:r>
    </w:p>
    <w:p w14:paraId="6EBB2E0C" w14:textId="77777777" w:rsidR="0084542F" w:rsidRPr="004439D0" w:rsidRDefault="0084542F" w:rsidP="00992EC7">
      <w:pPr>
        <w:spacing w:line="276" w:lineRule="auto"/>
        <w:jc w:val="both"/>
        <w:rPr>
          <w:rFonts w:ascii="Verdana" w:hAnsi="Verdana" w:cs="Helvetica"/>
          <w:color w:val="000000"/>
          <w:sz w:val="22"/>
          <w:szCs w:val="22"/>
        </w:rPr>
      </w:pPr>
    </w:p>
    <w:p w14:paraId="1DE263E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Integridad:</w:t>
      </w:r>
      <w:r w:rsidRPr="004439D0">
        <w:rPr>
          <w:rFonts w:ascii="Verdana" w:hAnsi="Verdana" w:cs="Helvetica"/>
          <w:color w:val="000000"/>
          <w:sz w:val="22"/>
          <w:szCs w:val="22"/>
        </w:rPr>
        <w:t xml:space="preserve"> Los activos de información deben estar adecuadamente protegidos para asegurar su completitud y precisión. Las medidas de validación definidas deben permitir detectar las modificaciones inapropiadas, la eliminación o la adulteración de los activos de información</w:t>
      </w:r>
    </w:p>
    <w:p w14:paraId="111FF508" w14:textId="77777777" w:rsidR="0084542F" w:rsidRPr="004439D0" w:rsidRDefault="0084542F" w:rsidP="00992EC7">
      <w:pPr>
        <w:spacing w:line="276" w:lineRule="auto"/>
        <w:jc w:val="both"/>
        <w:rPr>
          <w:rFonts w:ascii="Verdana" w:hAnsi="Verdana" w:cs="Helvetica"/>
          <w:color w:val="000000"/>
          <w:sz w:val="22"/>
          <w:szCs w:val="22"/>
        </w:rPr>
      </w:pPr>
    </w:p>
    <w:p w14:paraId="1207F266"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No Repudio:</w:t>
      </w:r>
      <w:r w:rsidRPr="004439D0">
        <w:rPr>
          <w:rFonts w:ascii="Verdana" w:hAnsi="Verdana" w:cs="Helvetica"/>
          <w:color w:val="000000"/>
          <w:sz w:val="22"/>
          <w:szCs w:val="22"/>
        </w:rPr>
        <w:t xml:space="preserve"> Los activos de información deben estar provistos de mecanismos que permitan probar que una acción o un evento han tenido lugar y no puedan ser negados posteriormente</w:t>
      </w:r>
    </w:p>
    <w:p w14:paraId="55EAF943" w14:textId="77777777" w:rsidR="0084542F" w:rsidRPr="004439D0" w:rsidRDefault="0084542F" w:rsidP="00992EC7">
      <w:pPr>
        <w:spacing w:line="276" w:lineRule="auto"/>
        <w:jc w:val="both"/>
        <w:rPr>
          <w:rFonts w:ascii="Verdana" w:hAnsi="Verdana" w:cs="Helvetica"/>
          <w:color w:val="000000"/>
          <w:sz w:val="22"/>
          <w:szCs w:val="22"/>
        </w:rPr>
      </w:pPr>
    </w:p>
    <w:p w14:paraId="326960BF"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b/>
          <w:color w:val="000000"/>
          <w:sz w:val="22"/>
          <w:szCs w:val="22"/>
        </w:rPr>
        <w:t>Trazabilidad:</w:t>
      </w:r>
      <w:r w:rsidRPr="004439D0">
        <w:rPr>
          <w:rFonts w:ascii="Verdana" w:hAnsi="Verdana" w:cs="Helvetica"/>
          <w:color w:val="000000"/>
          <w:sz w:val="22"/>
          <w:szCs w:val="22"/>
        </w:rPr>
        <w:t xml:space="preserve"> El MHCP requiere que se pueda realizar seguimiento de los cambios de la información y se identifiquen los agentes de cambio</w:t>
      </w:r>
    </w:p>
    <w:p w14:paraId="0FB15E53" w14:textId="77777777" w:rsidR="0084542F" w:rsidRPr="004439D0" w:rsidRDefault="0084542F" w:rsidP="00992EC7">
      <w:pPr>
        <w:spacing w:line="276" w:lineRule="auto"/>
        <w:jc w:val="both"/>
        <w:rPr>
          <w:rFonts w:ascii="Verdana" w:hAnsi="Verdana" w:cs="Helvetica"/>
          <w:color w:val="000000"/>
          <w:sz w:val="22"/>
          <w:szCs w:val="22"/>
        </w:rPr>
      </w:pPr>
    </w:p>
    <w:p w14:paraId="227C4EF3" w14:textId="6F611B7D"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Estos principios se encuentran documentados en la política de seguridad de la información del MHCP la cual hace parte integral de este documento.</w:t>
      </w:r>
    </w:p>
    <w:p w14:paraId="7B688E35" w14:textId="77777777" w:rsidR="0084542F" w:rsidRPr="004439D0" w:rsidRDefault="0084542F" w:rsidP="00992EC7">
      <w:pPr>
        <w:spacing w:line="276" w:lineRule="auto"/>
        <w:jc w:val="both"/>
        <w:rPr>
          <w:rFonts w:ascii="Verdana" w:hAnsi="Verdana" w:cs="Helvetica"/>
          <w:color w:val="000000"/>
          <w:sz w:val="22"/>
          <w:szCs w:val="22"/>
        </w:rPr>
      </w:pPr>
    </w:p>
    <w:p w14:paraId="15ED8DFB" w14:textId="269A8D74" w:rsidR="0084542F" w:rsidRPr="004439D0" w:rsidRDefault="004439D0" w:rsidP="00FC7D4F">
      <w:pPr>
        <w:pStyle w:val="Ttulo2"/>
        <w:numPr>
          <w:ilvl w:val="0"/>
          <w:numId w:val="24"/>
        </w:numPr>
        <w:spacing w:line="276" w:lineRule="auto"/>
        <w:rPr>
          <w:rFonts w:ascii="Verdana" w:hAnsi="Verdana" w:cs="Helvetica"/>
          <w:sz w:val="22"/>
          <w:szCs w:val="22"/>
        </w:rPr>
      </w:pPr>
      <w:bookmarkStart w:id="104" w:name="_Toc507771269"/>
      <w:bookmarkStart w:id="105" w:name="_Toc4590645"/>
      <w:bookmarkStart w:id="106" w:name="_Toc155883063"/>
      <w:r>
        <w:rPr>
          <w:rFonts w:ascii="Verdana" w:hAnsi="Verdana" w:cs="Helvetica"/>
          <w:sz w:val="22"/>
          <w:szCs w:val="22"/>
        </w:rPr>
        <w:t xml:space="preserve"> </w:t>
      </w:r>
      <w:r w:rsidR="0084542F" w:rsidRPr="004439D0">
        <w:rPr>
          <w:rFonts w:ascii="Verdana" w:hAnsi="Verdana" w:cs="Helvetica"/>
          <w:sz w:val="22"/>
          <w:szCs w:val="22"/>
        </w:rPr>
        <w:t>Continuidad del Negocio</w:t>
      </w:r>
      <w:bookmarkEnd w:id="104"/>
      <w:bookmarkEnd w:id="105"/>
      <w:bookmarkEnd w:id="106"/>
    </w:p>
    <w:p w14:paraId="556C9785" w14:textId="77777777" w:rsidR="0084542F" w:rsidRPr="004439D0" w:rsidRDefault="0084542F" w:rsidP="00992EC7">
      <w:pPr>
        <w:spacing w:line="276" w:lineRule="auto"/>
        <w:jc w:val="both"/>
        <w:rPr>
          <w:rFonts w:ascii="Verdana" w:hAnsi="Verdana" w:cs="Helvetica"/>
          <w:sz w:val="22"/>
          <w:szCs w:val="22"/>
        </w:rPr>
      </w:pPr>
    </w:p>
    <w:p w14:paraId="41FDB224" w14:textId="32B6EEDF"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El plan de continuidad del negocio (o sus siglas en inglés BCP, por </w:t>
      </w:r>
      <w:r w:rsidRPr="004439D0">
        <w:rPr>
          <w:rFonts w:ascii="Verdana" w:hAnsi="Verdana" w:cs="Helvetica"/>
          <w:i/>
          <w:color w:val="000000"/>
          <w:sz w:val="22"/>
          <w:szCs w:val="22"/>
        </w:rPr>
        <w:t>Business Continuity Plan</w:t>
      </w:r>
      <w:r w:rsidRPr="004439D0">
        <w:rPr>
          <w:rFonts w:ascii="Verdana" w:hAnsi="Verdana" w:cs="Helvetica"/>
          <w:color w:val="000000"/>
          <w:sz w:val="22"/>
          <w:szCs w:val="22"/>
        </w:rPr>
        <w:t xml:space="preserve">) es un plan logístico para la práctica de cómo una organización debe recuperar y restaurar sus funciones críticas parcialmente o totalmente interrumpidas dentro de un tiempo predeterminado, después de una interrupción no deseada o desastre. El Plan de Continuidad del Negocios busca mantener un nivel aceptable de servicios en caso de fallas internas o externas, que puedan afectar a nuestros clientes o contrapartes. Por </w:t>
      </w:r>
      <w:r w:rsidR="004E4AB7" w:rsidRPr="004439D0">
        <w:rPr>
          <w:rFonts w:ascii="Verdana" w:hAnsi="Verdana" w:cs="Helvetica"/>
          <w:color w:val="000000"/>
          <w:sz w:val="22"/>
          <w:szCs w:val="22"/>
        </w:rPr>
        <w:t>este</w:t>
      </w:r>
      <w:r w:rsidRPr="004439D0">
        <w:rPr>
          <w:rFonts w:ascii="Verdana" w:hAnsi="Verdana" w:cs="Helvetica"/>
          <w:color w:val="000000"/>
          <w:sz w:val="22"/>
          <w:szCs w:val="22"/>
        </w:rPr>
        <w:t xml:space="preserve"> motivo se busca:</w:t>
      </w:r>
    </w:p>
    <w:p w14:paraId="3CA7ED57" w14:textId="77777777" w:rsidR="0084542F" w:rsidRPr="004439D0" w:rsidRDefault="0084542F" w:rsidP="00992EC7">
      <w:pPr>
        <w:pStyle w:val="Textoindependiente3"/>
        <w:spacing w:line="276" w:lineRule="auto"/>
        <w:rPr>
          <w:rFonts w:ascii="Verdana" w:eastAsiaTheme="minorHAnsi" w:hAnsi="Verdana" w:cs="Helvetica"/>
          <w:color w:val="000000"/>
          <w:sz w:val="22"/>
          <w:szCs w:val="22"/>
        </w:rPr>
      </w:pPr>
    </w:p>
    <w:p w14:paraId="1148E96A"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Minimizar las interrupciones a la operación normal</w:t>
      </w:r>
    </w:p>
    <w:p w14:paraId="352F53F0"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Minimizar el impacto económico de la interrupción</w:t>
      </w:r>
    </w:p>
    <w:p w14:paraId="73B3DC26"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Establecer las Normas, Procedimientos e Instructivos para manejar la contingencia</w:t>
      </w:r>
    </w:p>
    <w:p w14:paraId="5611A653"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Identificar y entender las amenazas, riesgos y las medidas para cubrir los mayores riesgos minimizando rupturas materiales</w:t>
      </w:r>
    </w:p>
    <w:p w14:paraId="7E269631"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Mantener los planes individuales tratando con amenazas específicas que pueden levantarse durante una crisis</w:t>
      </w:r>
    </w:p>
    <w:p w14:paraId="295CC00D"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 xml:space="preserve">Detallar los procedimientos que serán adoptados por el Ministerio en caso de una contingencia </w:t>
      </w:r>
    </w:p>
    <w:p w14:paraId="66407C13" w14:textId="77777777" w:rsidR="0084542F" w:rsidRPr="004439D0" w:rsidRDefault="0084542F" w:rsidP="00FC7D4F">
      <w:pPr>
        <w:numPr>
          <w:ilvl w:val="0"/>
          <w:numId w:val="11"/>
        </w:numPr>
        <w:spacing w:line="276" w:lineRule="auto"/>
        <w:jc w:val="both"/>
        <w:rPr>
          <w:rFonts w:ascii="Verdana" w:hAnsi="Verdana" w:cs="Helvetica"/>
          <w:color w:val="000000"/>
          <w:sz w:val="22"/>
          <w:szCs w:val="22"/>
        </w:rPr>
      </w:pPr>
      <w:r w:rsidRPr="004439D0">
        <w:rPr>
          <w:rFonts w:ascii="Verdana" w:hAnsi="Verdana" w:cs="Helvetica"/>
          <w:color w:val="000000"/>
          <w:sz w:val="22"/>
          <w:szCs w:val="22"/>
        </w:rPr>
        <w:t>Proporcionar las medidas de mitigación de riesgo y la continuidad comercial planeando reducir posibles pérdidas</w:t>
      </w:r>
    </w:p>
    <w:p w14:paraId="52E4DE6F" w14:textId="77777777" w:rsidR="0084542F" w:rsidRPr="004439D0" w:rsidRDefault="0084542F" w:rsidP="00992EC7">
      <w:pPr>
        <w:spacing w:line="276" w:lineRule="auto"/>
        <w:jc w:val="both"/>
        <w:rPr>
          <w:rFonts w:ascii="Verdana" w:hAnsi="Verdana" w:cs="Helvetica"/>
          <w:color w:val="000000"/>
          <w:sz w:val="22"/>
          <w:szCs w:val="22"/>
        </w:rPr>
      </w:pPr>
    </w:p>
    <w:p w14:paraId="313639FE"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El plan de continuidad del negocio está compuesto por los siguientes planes, los cuales hacen parte integral de este documento:</w:t>
      </w:r>
      <w:bookmarkStart w:id="107" w:name="_Toc507771270"/>
    </w:p>
    <w:p w14:paraId="085B8DCF" w14:textId="77777777" w:rsidR="0084542F" w:rsidRPr="004439D0" w:rsidRDefault="0084542F" w:rsidP="00992EC7">
      <w:pPr>
        <w:spacing w:line="276" w:lineRule="auto"/>
        <w:jc w:val="both"/>
        <w:rPr>
          <w:rFonts w:ascii="Verdana" w:hAnsi="Verdana" w:cs="Helvetica"/>
          <w:sz w:val="22"/>
          <w:szCs w:val="22"/>
        </w:rPr>
      </w:pPr>
    </w:p>
    <w:p w14:paraId="3B5BEB15" w14:textId="77777777" w:rsidR="0084542F" w:rsidRPr="004439D0" w:rsidRDefault="0084542F" w:rsidP="00FC7D4F">
      <w:pPr>
        <w:pStyle w:val="Prrafodelista"/>
        <w:numPr>
          <w:ilvl w:val="1"/>
          <w:numId w:val="2"/>
        </w:numPr>
        <w:ind w:left="709" w:hanging="283"/>
        <w:jc w:val="both"/>
        <w:rPr>
          <w:rFonts w:ascii="Verdana" w:hAnsi="Verdana" w:cs="Helvetica"/>
          <w:b/>
          <w:sz w:val="22"/>
          <w:szCs w:val="22"/>
        </w:rPr>
      </w:pPr>
      <w:bookmarkStart w:id="108" w:name="_Toc4590087"/>
      <w:r w:rsidRPr="004439D0">
        <w:rPr>
          <w:rFonts w:ascii="Verdana" w:hAnsi="Verdana" w:cs="Helvetica"/>
          <w:b/>
          <w:sz w:val="22"/>
          <w:szCs w:val="22"/>
        </w:rPr>
        <w:t>Plan de Atención de Emergencias</w:t>
      </w:r>
      <w:bookmarkEnd w:id="107"/>
      <w:bookmarkEnd w:id="108"/>
    </w:p>
    <w:p w14:paraId="505656E6" w14:textId="77777777" w:rsidR="0084542F" w:rsidRPr="004439D0" w:rsidRDefault="0084542F" w:rsidP="00992EC7">
      <w:pPr>
        <w:jc w:val="both"/>
        <w:rPr>
          <w:rFonts w:ascii="Verdana" w:hAnsi="Verdana" w:cs="Helvetica"/>
          <w:sz w:val="22"/>
          <w:szCs w:val="22"/>
        </w:rPr>
      </w:pPr>
    </w:p>
    <w:p w14:paraId="1B50A054" w14:textId="77777777" w:rsidR="0084542F" w:rsidRPr="004439D0" w:rsidRDefault="0084542F" w:rsidP="008F2E7B">
      <w:pPr>
        <w:spacing w:line="276" w:lineRule="auto"/>
        <w:jc w:val="both"/>
        <w:rPr>
          <w:rFonts w:ascii="Verdana" w:hAnsi="Verdana" w:cs="Helvetica"/>
          <w:sz w:val="22"/>
          <w:szCs w:val="22"/>
        </w:rPr>
      </w:pPr>
      <w:r w:rsidRPr="004439D0">
        <w:rPr>
          <w:rFonts w:ascii="Verdana" w:hAnsi="Verdana" w:cs="Helvetica"/>
          <w:sz w:val="22"/>
          <w:szCs w:val="22"/>
        </w:rPr>
        <w:t>Es el plan definido por el Ministerio de Hacienda y Crédito Público, contempla las contramedidas necesarias durante la materialización de una amenaza que atenten contra la integridad de los funcionarios, este plan esta administrado por la Dirección Administrativa del Ministerio.</w:t>
      </w:r>
    </w:p>
    <w:p w14:paraId="7F238A22" w14:textId="77777777" w:rsidR="0084542F" w:rsidRPr="004439D0" w:rsidRDefault="0084542F" w:rsidP="00992EC7">
      <w:pPr>
        <w:pStyle w:val="Ttulo3"/>
        <w:jc w:val="both"/>
        <w:rPr>
          <w:rFonts w:ascii="Verdana" w:hAnsi="Verdana" w:cs="Helvetica"/>
          <w:sz w:val="22"/>
          <w:szCs w:val="22"/>
        </w:rPr>
      </w:pPr>
      <w:bookmarkStart w:id="109" w:name="_Toc507771271"/>
    </w:p>
    <w:p w14:paraId="11772F78" w14:textId="77777777" w:rsidR="0084542F" w:rsidRPr="004439D0" w:rsidRDefault="0084542F" w:rsidP="00FC7D4F">
      <w:pPr>
        <w:pStyle w:val="Prrafodelista"/>
        <w:numPr>
          <w:ilvl w:val="1"/>
          <w:numId w:val="2"/>
        </w:numPr>
        <w:ind w:left="709" w:hanging="283"/>
        <w:jc w:val="both"/>
        <w:rPr>
          <w:rFonts w:ascii="Verdana" w:hAnsi="Verdana" w:cs="Helvetica"/>
          <w:b/>
          <w:sz w:val="22"/>
          <w:szCs w:val="22"/>
        </w:rPr>
      </w:pPr>
      <w:bookmarkStart w:id="110" w:name="_Toc4590088"/>
      <w:r w:rsidRPr="004439D0">
        <w:rPr>
          <w:rFonts w:ascii="Verdana" w:hAnsi="Verdana" w:cs="Helvetica"/>
          <w:b/>
          <w:sz w:val="22"/>
          <w:szCs w:val="22"/>
        </w:rPr>
        <w:t>Plan de Manejo de Crisis</w:t>
      </w:r>
      <w:bookmarkEnd w:id="109"/>
      <w:bookmarkEnd w:id="110"/>
      <w:r w:rsidRPr="004439D0">
        <w:rPr>
          <w:rFonts w:ascii="Verdana" w:hAnsi="Verdana" w:cs="Helvetica"/>
          <w:b/>
          <w:sz w:val="22"/>
          <w:szCs w:val="22"/>
        </w:rPr>
        <w:t xml:space="preserve">  </w:t>
      </w:r>
    </w:p>
    <w:p w14:paraId="2464BE7A" w14:textId="77777777" w:rsidR="0084542F" w:rsidRPr="004439D0" w:rsidRDefault="0084542F" w:rsidP="00992EC7">
      <w:pPr>
        <w:spacing w:line="276" w:lineRule="auto"/>
        <w:jc w:val="both"/>
        <w:rPr>
          <w:rFonts w:ascii="Verdana" w:hAnsi="Verdana" w:cs="Helvetica"/>
          <w:color w:val="000000"/>
          <w:sz w:val="22"/>
          <w:szCs w:val="22"/>
        </w:rPr>
      </w:pPr>
    </w:p>
    <w:p w14:paraId="47EC046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Es el plan definido por la DGCPTN para mitigar el riesgo reputacional al que se encuentra expuesta la Dirección. Define el procedimiento para atender la crisis y la cadena de comunicación.</w:t>
      </w:r>
    </w:p>
    <w:p w14:paraId="44725C41" w14:textId="77777777" w:rsidR="0084542F" w:rsidRPr="004439D0" w:rsidRDefault="0084542F" w:rsidP="00992EC7">
      <w:pPr>
        <w:pStyle w:val="Ttulo3"/>
        <w:jc w:val="both"/>
        <w:rPr>
          <w:rFonts w:ascii="Verdana" w:hAnsi="Verdana" w:cs="Helvetica"/>
          <w:sz w:val="22"/>
          <w:szCs w:val="22"/>
        </w:rPr>
      </w:pPr>
      <w:bookmarkStart w:id="111" w:name="_Toc507771272"/>
    </w:p>
    <w:p w14:paraId="724A0C37" w14:textId="77777777" w:rsidR="0084542F" w:rsidRPr="004439D0" w:rsidRDefault="0084542F" w:rsidP="00FC7D4F">
      <w:pPr>
        <w:pStyle w:val="Prrafodelista"/>
        <w:numPr>
          <w:ilvl w:val="1"/>
          <w:numId w:val="2"/>
        </w:numPr>
        <w:ind w:left="709" w:hanging="283"/>
        <w:jc w:val="both"/>
        <w:rPr>
          <w:rFonts w:ascii="Verdana" w:hAnsi="Verdana" w:cs="Helvetica"/>
          <w:b/>
          <w:sz w:val="22"/>
          <w:szCs w:val="22"/>
        </w:rPr>
      </w:pPr>
      <w:bookmarkStart w:id="112" w:name="_Toc4590089"/>
      <w:r w:rsidRPr="004439D0">
        <w:rPr>
          <w:rFonts w:ascii="Verdana" w:hAnsi="Verdana" w:cs="Helvetica"/>
          <w:b/>
          <w:sz w:val="22"/>
          <w:szCs w:val="22"/>
        </w:rPr>
        <w:t>Plan de Contingencia Tecnológica</w:t>
      </w:r>
      <w:bookmarkEnd w:id="111"/>
      <w:bookmarkEnd w:id="112"/>
    </w:p>
    <w:p w14:paraId="1DC39BAF" w14:textId="77777777" w:rsidR="0084542F" w:rsidRPr="004439D0" w:rsidRDefault="0084542F" w:rsidP="00992EC7">
      <w:pPr>
        <w:spacing w:line="276" w:lineRule="auto"/>
        <w:jc w:val="both"/>
        <w:rPr>
          <w:rFonts w:ascii="Verdana" w:hAnsi="Verdana" w:cs="Helvetica"/>
          <w:color w:val="000000"/>
          <w:sz w:val="22"/>
          <w:szCs w:val="22"/>
        </w:rPr>
      </w:pPr>
    </w:p>
    <w:p w14:paraId="74384C3B" w14:textId="77777777" w:rsidR="0084542F" w:rsidRPr="004439D0" w:rsidRDefault="0084542F" w:rsidP="00992EC7">
      <w:pPr>
        <w:spacing w:line="276" w:lineRule="auto"/>
        <w:jc w:val="both"/>
        <w:rPr>
          <w:rFonts w:ascii="Verdana" w:hAnsi="Verdana" w:cs="Helvetica"/>
          <w:color w:val="000000"/>
          <w:sz w:val="22"/>
          <w:szCs w:val="22"/>
        </w:rPr>
      </w:pPr>
      <w:r w:rsidRPr="004439D0">
        <w:rPr>
          <w:rFonts w:ascii="Verdana" w:hAnsi="Verdana" w:cs="Helvetica"/>
          <w:color w:val="000000"/>
          <w:sz w:val="22"/>
          <w:szCs w:val="22"/>
        </w:rPr>
        <w:t>Define las acciones de recuperación en la continuidad de las operaciones en los sistemas de información que el MHCP tiene en producción en el menor tiempo y reduciendo el impacto en las operaciones del Ministerio. Es administrado por la Dirección de Tecnología.</w:t>
      </w:r>
    </w:p>
    <w:p w14:paraId="2ED17476" w14:textId="36E1F356" w:rsidR="0084542F" w:rsidRPr="004439D0" w:rsidRDefault="0084542F" w:rsidP="008F2E7B">
      <w:pPr>
        <w:rPr>
          <w:rFonts w:ascii="Verdana" w:hAnsi="Verdana"/>
        </w:rPr>
      </w:pPr>
      <w:bookmarkStart w:id="113" w:name="_Toc507771273"/>
    </w:p>
    <w:p w14:paraId="15410296" w14:textId="7A0CEDE2" w:rsidR="008F2E7B" w:rsidRPr="004439D0" w:rsidRDefault="008F2E7B" w:rsidP="008F2E7B">
      <w:pPr>
        <w:rPr>
          <w:rFonts w:ascii="Verdana" w:hAnsi="Verdana"/>
        </w:rPr>
      </w:pPr>
    </w:p>
    <w:p w14:paraId="346DA49D" w14:textId="77777777" w:rsidR="0084542F" w:rsidRPr="004439D0" w:rsidRDefault="0084542F" w:rsidP="00FC7D4F">
      <w:pPr>
        <w:pStyle w:val="Prrafodelista"/>
        <w:numPr>
          <w:ilvl w:val="1"/>
          <w:numId w:val="2"/>
        </w:numPr>
        <w:ind w:left="709" w:hanging="283"/>
        <w:jc w:val="both"/>
        <w:rPr>
          <w:rFonts w:ascii="Verdana" w:hAnsi="Verdana" w:cs="Helvetica"/>
          <w:b/>
          <w:sz w:val="22"/>
          <w:szCs w:val="22"/>
        </w:rPr>
      </w:pPr>
      <w:bookmarkStart w:id="114" w:name="_Toc4590090"/>
      <w:r w:rsidRPr="004439D0">
        <w:rPr>
          <w:rFonts w:ascii="Verdana" w:hAnsi="Verdana" w:cs="Helvetica"/>
          <w:b/>
          <w:sz w:val="22"/>
          <w:szCs w:val="22"/>
        </w:rPr>
        <w:t>Plan de Contingencia Operativo</w:t>
      </w:r>
      <w:bookmarkEnd w:id="113"/>
      <w:bookmarkEnd w:id="114"/>
    </w:p>
    <w:p w14:paraId="6D50FB64" w14:textId="77777777" w:rsidR="0084542F" w:rsidRPr="004439D0" w:rsidRDefault="0084542F" w:rsidP="00992EC7">
      <w:pPr>
        <w:spacing w:line="276" w:lineRule="auto"/>
        <w:jc w:val="both"/>
        <w:rPr>
          <w:rFonts w:ascii="Verdana" w:hAnsi="Verdana" w:cs="Helvetica"/>
          <w:color w:val="000000"/>
          <w:sz w:val="22"/>
          <w:szCs w:val="22"/>
        </w:rPr>
      </w:pPr>
    </w:p>
    <w:p w14:paraId="442290CA" w14:textId="759E041B" w:rsidR="0094407F" w:rsidRPr="004439D0" w:rsidRDefault="0084542F" w:rsidP="00D71DE0">
      <w:pPr>
        <w:spacing w:line="276" w:lineRule="auto"/>
        <w:jc w:val="both"/>
        <w:rPr>
          <w:rFonts w:ascii="Verdana" w:hAnsi="Verdana" w:cs="Helvetica"/>
          <w:sz w:val="22"/>
          <w:szCs w:val="22"/>
        </w:rPr>
      </w:pPr>
      <w:r w:rsidRPr="004439D0">
        <w:rPr>
          <w:rFonts w:ascii="Verdana" w:hAnsi="Verdana" w:cs="Helvetica"/>
          <w:color w:val="000000"/>
          <w:sz w:val="22"/>
          <w:szCs w:val="22"/>
        </w:rPr>
        <w:t>Tiene como finalidad documentar las actividades, procesos y procedimientos requeridos para atender los procesos críticos, ante un escenario que impida el cumplimiento de los objetivos del proceso. Adicionalmente proporciona los mecanismos y herramientas alternas para cumplir con las obligaciones contractuales adquiridas por la nación.</w:t>
      </w:r>
    </w:p>
    <w:p w14:paraId="2083B37E" w14:textId="781E37D5" w:rsidR="00974849" w:rsidRPr="004439D0" w:rsidRDefault="00974849" w:rsidP="00992EC7">
      <w:pPr>
        <w:jc w:val="both"/>
        <w:rPr>
          <w:rFonts w:ascii="Verdana" w:hAnsi="Verdana" w:cs="Helvetica"/>
          <w:sz w:val="22"/>
          <w:szCs w:val="22"/>
        </w:rPr>
      </w:pPr>
    </w:p>
    <w:p w14:paraId="3A50D340" w14:textId="7E685EF6" w:rsidR="009E36A7" w:rsidRDefault="009E36A7" w:rsidP="00992EC7">
      <w:pPr>
        <w:jc w:val="both"/>
        <w:rPr>
          <w:rFonts w:ascii="Verdana" w:hAnsi="Verdana" w:cs="Helvetica"/>
          <w:sz w:val="22"/>
          <w:szCs w:val="22"/>
        </w:rPr>
      </w:pPr>
    </w:p>
    <w:p w14:paraId="050FF87C" w14:textId="77777777" w:rsidR="006F77AA" w:rsidRPr="004439D0" w:rsidRDefault="006F77AA" w:rsidP="00992EC7">
      <w:pPr>
        <w:jc w:val="both"/>
        <w:rPr>
          <w:rFonts w:ascii="Verdana" w:hAnsi="Verdana" w:cs="Helvetica"/>
          <w:sz w:val="22"/>
          <w:szCs w:val="22"/>
        </w:rPr>
      </w:pPr>
    </w:p>
    <w:p w14:paraId="088C95D8" w14:textId="1231755B" w:rsidR="00000AF7" w:rsidRPr="004439D0" w:rsidRDefault="004439D0" w:rsidP="00F51EBB">
      <w:pPr>
        <w:pStyle w:val="Ttulo1"/>
        <w:numPr>
          <w:ilvl w:val="0"/>
          <w:numId w:val="24"/>
        </w:numPr>
        <w:jc w:val="both"/>
        <w:rPr>
          <w:rFonts w:ascii="Verdana" w:hAnsi="Verdana" w:cs="Helvetica"/>
          <w:sz w:val="22"/>
          <w:szCs w:val="22"/>
        </w:rPr>
      </w:pPr>
      <w:bookmarkStart w:id="115" w:name="_Toc155883064"/>
      <w:bookmarkEnd w:id="24"/>
      <w:bookmarkEnd w:id="25"/>
      <w:bookmarkEnd w:id="26"/>
      <w:bookmarkEnd w:id="27"/>
      <w:bookmarkEnd w:id="28"/>
      <w:bookmarkEnd w:id="29"/>
      <w:r>
        <w:rPr>
          <w:rFonts w:ascii="Verdana" w:hAnsi="Verdana" w:cs="Helvetica"/>
          <w:sz w:val="22"/>
          <w:szCs w:val="22"/>
        </w:rPr>
        <w:t xml:space="preserve"> </w:t>
      </w:r>
      <w:r w:rsidR="004A361C" w:rsidRPr="004439D0">
        <w:rPr>
          <w:rFonts w:ascii="Verdana" w:hAnsi="Verdana" w:cs="Helvetica"/>
          <w:sz w:val="22"/>
          <w:szCs w:val="22"/>
        </w:rPr>
        <w:t>H</w:t>
      </w:r>
      <w:r w:rsidR="00000AF7" w:rsidRPr="004439D0">
        <w:rPr>
          <w:rFonts w:ascii="Verdana" w:hAnsi="Verdana" w:cs="Helvetica"/>
          <w:sz w:val="22"/>
          <w:szCs w:val="22"/>
        </w:rPr>
        <w:t>ISTORIAL DE CAMBIOS</w:t>
      </w:r>
      <w:bookmarkEnd w:id="115"/>
    </w:p>
    <w:p w14:paraId="145D3A37" w14:textId="77777777" w:rsidR="002648FF" w:rsidRPr="004439D0" w:rsidRDefault="002648FF" w:rsidP="00992EC7">
      <w:pPr>
        <w:jc w:val="both"/>
        <w:rPr>
          <w:rFonts w:ascii="Verdana" w:hAnsi="Verdana" w:cs="Helvetica"/>
          <w:sz w:val="22"/>
          <w:szCs w:val="22"/>
        </w:rPr>
      </w:pPr>
    </w:p>
    <w:p w14:paraId="26DA5647" w14:textId="77777777" w:rsidR="00000AF7" w:rsidRPr="004439D0" w:rsidRDefault="00000AF7" w:rsidP="00992EC7">
      <w:pPr>
        <w:jc w:val="both"/>
        <w:rPr>
          <w:rFonts w:ascii="Verdana" w:hAnsi="Verdana" w:cs="Helvetica"/>
          <w:b/>
          <w:sz w:val="22"/>
          <w:szCs w:val="22"/>
        </w:rPr>
      </w:pPr>
    </w:p>
    <w:tbl>
      <w:tblPr>
        <w:tblW w:w="87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3260"/>
        <w:gridCol w:w="2253"/>
      </w:tblGrid>
      <w:tr w:rsidR="00000AF7" w:rsidRPr="004439D0" w14:paraId="743E8ECC" w14:textId="77777777" w:rsidTr="00600A63">
        <w:trPr>
          <w:trHeight w:val="697"/>
          <w:tblHeader/>
        </w:trPr>
        <w:tc>
          <w:tcPr>
            <w:tcW w:w="1701" w:type="dxa"/>
            <w:shd w:val="clear" w:color="auto" w:fill="404040"/>
            <w:tcMar>
              <w:top w:w="57" w:type="dxa"/>
              <w:left w:w="113" w:type="dxa"/>
              <w:bottom w:w="57" w:type="dxa"/>
            </w:tcMar>
            <w:vAlign w:val="center"/>
          </w:tcPr>
          <w:p w14:paraId="212CADFF" w14:textId="77777777" w:rsidR="00000AF7" w:rsidRPr="004439D0" w:rsidRDefault="00000AF7" w:rsidP="00056610">
            <w:pPr>
              <w:jc w:val="center"/>
              <w:rPr>
                <w:rFonts w:ascii="Verdana" w:hAnsi="Verdana" w:cs="Helvetica"/>
                <w:b/>
                <w:color w:val="FFFFFF"/>
                <w:sz w:val="22"/>
                <w:szCs w:val="22"/>
              </w:rPr>
            </w:pPr>
            <w:r w:rsidRPr="004439D0">
              <w:rPr>
                <w:rFonts w:ascii="Verdana" w:hAnsi="Verdana" w:cs="Helvetica"/>
                <w:b/>
                <w:color w:val="FFFFFF"/>
                <w:sz w:val="22"/>
                <w:szCs w:val="22"/>
              </w:rPr>
              <w:t>FECHA</w:t>
            </w:r>
          </w:p>
        </w:tc>
        <w:tc>
          <w:tcPr>
            <w:tcW w:w="1560" w:type="dxa"/>
            <w:shd w:val="clear" w:color="auto" w:fill="404040"/>
            <w:tcMar>
              <w:top w:w="57" w:type="dxa"/>
              <w:left w:w="113" w:type="dxa"/>
              <w:bottom w:w="57" w:type="dxa"/>
            </w:tcMar>
            <w:vAlign w:val="center"/>
          </w:tcPr>
          <w:p w14:paraId="4A1BDF0F" w14:textId="77777777" w:rsidR="00000AF7" w:rsidRPr="004439D0" w:rsidRDefault="00000AF7" w:rsidP="00056610">
            <w:pPr>
              <w:jc w:val="center"/>
              <w:rPr>
                <w:rFonts w:ascii="Verdana" w:hAnsi="Verdana" w:cs="Helvetica"/>
                <w:b/>
                <w:color w:val="FFFFFF"/>
                <w:sz w:val="22"/>
                <w:szCs w:val="22"/>
              </w:rPr>
            </w:pPr>
            <w:r w:rsidRPr="004439D0">
              <w:rPr>
                <w:rFonts w:ascii="Verdana" w:hAnsi="Verdana" w:cs="Helvetica"/>
                <w:b/>
                <w:color w:val="FFFFFF"/>
                <w:sz w:val="22"/>
                <w:szCs w:val="22"/>
              </w:rPr>
              <w:t>VERSIÓN</w:t>
            </w:r>
          </w:p>
        </w:tc>
        <w:tc>
          <w:tcPr>
            <w:tcW w:w="3260" w:type="dxa"/>
            <w:shd w:val="clear" w:color="auto" w:fill="404040"/>
            <w:tcMar>
              <w:top w:w="57" w:type="dxa"/>
              <w:left w:w="113" w:type="dxa"/>
              <w:bottom w:w="57" w:type="dxa"/>
            </w:tcMar>
            <w:vAlign w:val="center"/>
          </w:tcPr>
          <w:p w14:paraId="2A4930F8" w14:textId="77777777" w:rsidR="00000AF7" w:rsidRPr="004439D0" w:rsidRDefault="00000AF7" w:rsidP="00056610">
            <w:pPr>
              <w:jc w:val="center"/>
              <w:rPr>
                <w:rFonts w:ascii="Verdana" w:hAnsi="Verdana" w:cs="Helvetica"/>
                <w:b/>
                <w:color w:val="FFFFFF"/>
                <w:sz w:val="22"/>
                <w:szCs w:val="22"/>
              </w:rPr>
            </w:pPr>
            <w:r w:rsidRPr="004439D0">
              <w:rPr>
                <w:rFonts w:ascii="Verdana" w:hAnsi="Verdana" w:cs="Helvetica"/>
                <w:b/>
                <w:color w:val="FFFFFF"/>
                <w:sz w:val="22"/>
                <w:szCs w:val="22"/>
              </w:rPr>
              <w:t>DESCRIPCIÓN DEL CAMBIO</w:t>
            </w:r>
          </w:p>
        </w:tc>
        <w:tc>
          <w:tcPr>
            <w:tcW w:w="2253" w:type="dxa"/>
            <w:shd w:val="clear" w:color="auto" w:fill="404040"/>
            <w:tcMar>
              <w:top w:w="57" w:type="dxa"/>
              <w:left w:w="113" w:type="dxa"/>
              <w:bottom w:w="57" w:type="dxa"/>
            </w:tcMar>
            <w:vAlign w:val="center"/>
          </w:tcPr>
          <w:p w14:paraId="54E870DC" w14:textId="77777777" w:rsidR="00000AF7" w:rsidRPr="004439D0" w:rsidRDefault="00000AF7" w:rsidP="00056610">
            <w:pPr>
              <w:jc w:val="center"/>
              <w:rPr>
                <w:rFonts w:ascii="Verdana" w:hAnsi="Verdana" w:cs="Helvetica"/>
                <w:b/>
                <w:color w:val="FFFFFF"/>
                <w:sz w:val="22"/>
                <w:szCs w:val="22"/>
              </w:rPr>
            </w:pPr>
            <w:r w:rsidRPr="004439D0">
              <w:rPr>
                <w:rFonts w:ascii="Verdana" w:hAnsi="Verdana" w:cs="Helvetica"/>
                <w:b/>
                <w:color w:val="FFFFFF"/>
                <w:sz w:val="22"/>
                <w:szCs w:val="22"/>
              </w:rPr>
              <w:t>ASESOR SUG</w:t>
            </w:r>
          </w:p>
        </w:tc>
      </w:tr>
      <w:tr w:rsidR="00084554" w:rsidRPr="004439D0" w14:paraId="4D90C441" w14:textId="77777777" w:rsidTr="00084554">
        <w:trPr>
          <w:trHeight w:val="381"/>
        </w:trPr>
        <w:tc>
          <w:tcPr>
            <w:tcW w:w="1701" w:type="dxa"/>
            <w:shd w:val="clear" w:color="auto" w:fill="auto"/>
            <w:tcMar>
              <w:top w:w="57" w:type="dxa"/>
              <w:left w:w="113" w:type="dxa"/>
              <w:bottom w:w="57" w:type="dxa"/>
            </w:tcMar>
          </w:tcPr>
          <w:p w14:paraId="1EF91103" w14:textId="7C02FB8F" w:rsidR="00084554" w:rsidRPr="004439D0" w:rsidRDefault="00084554" w:rsidP="00084554">
            <w:pPr>
              <w:jc w:val="both"/>
              <w:rPr>
                <w:rFonts w:ascii="Verdana" w:hAnsi="Verdana" w:cs="Helvetica"/>
                <w:bCs/>
                <w:i/>
                <w:color w:val="806000"/>
                <w:sz w:val="22"/>
                <w:szCs w:val="22"/>
              </w:rPr>
            </w:pPr>
            <w:r w:rsidRPr="004439D0">
              <w:rPr>
                <w:rFonts w:ascii="Verdana" w:hAnsi="Verdana" w:cs="Helvetica"/>
                <w:sz w:val="22"/>
                <w:szCs w:val="22"/>
              </w:rPr>
              <w:t>27-03-2019</w:t>
            </w:r>
          </w:p>
        </w:tc>
        <w:tc>
          <w:tcPr>
            <w:tcW w:w="1560" w:type="dxa"/>
            <w:shd w:val="clear" w:color="auto" w:fill="auto"/>
            <w:tcMar>
              <w:top w:w="57" w:type="dxa"/>
              <w:left w:w="113" w:type="dxa"/>
              <w:bottom w:w="57" w:type="dxa"/>
            </w:tcMar>
          </w:tcPr>
          <w:p w14:paraId="540E5EF4" w14:textId="663BD931" w:rsidR="00084554" w:rsidRPr="004439D0" w:rsidRDefault="00084554" w:rsidP="00D71DE0">
            <w:pPr>
              <w:jc w:val="center"/>
              <w:rPr>
                <w:rFonts w:ascii="Verdana" w:hAnsi="Verdana" w:cs="Helvetica"/>
                <w:i/>
                <w:color w:val="C00000"/>
                <w:sz w:val="22"/>
                <w:szCs w:val="22"/>
              </w:rPr>
            </w:pPr>
            <w:r w:rsidRPr="004439D0">
              <w:rPr>
                <w:rFonts w:ascii="Verdana" w:hAnsi="Verdana" w:cs="Helvetica"/>
                <w:sz w:val="22"/>
                <w:szCs w:val="22"/>
              </w:rPr>
              <w:t>1</w:t>
            </w:r>
          </w:p>
        </w:tc>
        <w:tc>
          <w:tcPr>
            <w:tcW w:w="3260" w:type="dxa"/>
            <w:tcMar>
              <w:top w:w="57" w:type="dxa"/>
              <w:left w:w="113" w:type="dxa"/>
              <w:bottom w:w="57" w:type="dxa"/>
            </w:tcMar>
          </w:tcPr>
          <w:p w14:paraId="465D9FB1" w14:textId="5182733C" w:rsidR="00084554" w:rsidRPr="004439D0" w:rsidRDefault="00084554" w:rsidP="00084554">
            <w:pPr>
              <w:jc w:val="both"/>
              <w:rPr>
                <w:rFonts w:ascii="Verdana" w:hAnsi="Verdana" w:cs="Helvetica"/>
                <w:i/>
                <w:color w:val="C00000"/>
                <w:sz w:val="22"/>
                <w:szCs w:val="22"/>
              </w:rPr>
            </w:pPr>
            <w:r w:rsidRPr="004439D0">
              <w:rPr>
                <w:rFonts w:ascii="Verdana" w:hAnsi="Verdana" w:cs="Helvetica"/>
                <w:sz w:val="22"/>
                <w:szCs w:val="22"/>
              </w:rPr>
              <w:t>Creación del documento</w:t>
            </w:r>
          </w:p>
        </w:tc>
        <w:tc>
          <w:tcPr>
            <w:tcW w:w="2253" w:type="dxa"/>
            <w:tcMar>
              <w:top w:w="57" w:type="dxa"/>
              <w:left w:w="113" w:type="dxa"/>
              <w:bottom w:w="57" w:type="dxa"/>
            </w:tcMar>
          </w:tcPr>
          <w:p w14:paraId="10C4161B" w14:textId="4A40912C" w:rsidR="00084554" w:rsidRPr="004439D0" w:rsidRDefault="00084554" w:rsidP="00084554">
            <w:pPr>
              <w:jc w:val="both"/>
              <w:rPr>
                <w:rFonts w:ascii="Verdana" w:hAnsi="Verdana" w:cs="Helvetica"/>
                <w:i/>
                <w:color w:val="C00000"/>
                <w:sz w:val="22"/>
                <w:szCs w:val="22"/>
              </w:rPr>
            </w:pPr>
            <w:r w:rsidRPr="004439D0">
              <w:rPr>
                <w:rFonts w:ascii="Verdana" w:hAnsi="Verdana" w:cs="Helvetica"/>
                <w:sz w:val="22"/>
                <w:szCs w:val="22"/>
              </w:rPr>
              <w:t xml:space="preserve">Tatiana Santos Yate </w:t>
            </w:r>
          </w:p>
        </w:tc>
      </w:tr>
      <w:tr w:rsidR="00000AF7" w:rsidRPr="004439D0" w14:paraId="75211BE2" w14:textId="77777777" w:rsidTr="003B5310">
        <w:trPr>
          <w:trHeight w:val="737"/>
        </w:trPr>
        <w:tc>
          <w:tcPr>
            <w:tcW w:w="1701" w:type="dxa"/>
            <w:shd w:val="clear" w:color="auto" w:fill="auto"/>
            <w:tcMar>
              <w:top w:w="57" w:type="dxa"/>
              <w:left w:w="113" w:type="dxa"/>
              <w:bottom w:w="57" w:type="dxa"/>
            </w:tcMar>
            <w:vAlign w:val="center"/>
          </w:tcPr>
          <w:p w14:paraId="45C5BF2A" w14:textId="792B913D" w:rsidR="00000AF7" w:rsidRPr="004439D0" w:rsidRDefault="006F77AA" w:rsidP="00992EC7">
            <w:pPr>
              <w:jc w:val="both"/>
              <w:rPr>
                <w:rFonts w:ascii="Verdana" w:hAnsi="Verdana" w:cs="Helvetica"/>
                <w:sz w:val="22"/>
                <w:szCs w:val="22"/>
              </w:rPr>
            </w:pPr>
            <w:r>
              <w:rPr>
                <w:rFonts w:ascii="Verdana" w:hAnsi="Verdana" w:cs="Helvetica"/>
                <w:sz w:val="22"/>
                <w:szCs w:val="22"/>
              </w:rPr>
              <w:t>08</w:t>
            </w:r>
            <w:r w:rsidR="00084554" w:rsidRPr="004439D0">
              <w:rPr>
                <w:rFonts w:ascii="Verdana" w:hAnsi="Verdana" w:cs="Helvetica"/>
                <w:sz w:val="22"/>
                <w:szCs w:val="22"/>
              </w:rPr>
              <w:t>-0</w:t>
            </w:r>
            <w:r>
              <w:rPr>
                <w:rFonts w:ascii="Verdana" w:hAnsi="Verdana" w:cs="Helvetica"/>
                <w:sz w:val="22"/>
                <w:szCs w:val="22"/>
              </w:rPr>
              <w:t>2</w:t>
            </w:r>
            <w:r w:rsidR="00084554" w:rsidRPr="004439D0">
              <w:rPr>
                <w:rFonts w:ascii="Verdana" w:hAnsi="Verdana" w:cs="Helvetica"/>
                <w:sz w:val="22"/>
                <w:szCs w:val="22"/>
              </w:rPr>
              <w:t>-2024</w:t>
            </w:r>
          </w:p>
        </w:tc>
        <w:tc>
          <w:tcPr>
            <w:tcW w:w="1560" w:type="dxa"/>
            <w:shd w:val="clear" w:color="auto" w:fill="auto"/>
            <w:tcMar>
              <w:top w:w="57" w:type="dxa"/>
              <w:left w:w="113" w:type="dxa"/>
              <w:bottom w:w="57" w:type="dxa"/>
            </w:tcMar>
            <w:vAlign w:val="center"/>
          </w:tcPr>
          <w:p w14:paraId="4E438805" w14:textId="0638ACFA" w:rsidR="00000AF7" w:rsidRPr="004439D0" w:rsidRDefault="00084554" w:rsidP="00D71DE0">
            <w:pPr>
              <w:jc w:val="center"/>
              <w:rPr>
                <w:rFonts w:ascii="Verdana" w:hAnsi="Verdana" w:cs="Helvetica"/>
                <w:sz w:val="22"/>
                <w:szCs w:val="22"/>
              </w:rPr>
            </w:pPr>
            <w:r w:rsidRPr="004439D0">
              <w:rPr>
                <w:rFonts w:ascii="Verdana" w:hAnsi="Verdana" w:cs="Helvetica"/>
                <w:sz w:val="22"/>
                <w:szCs w:val="22"/>
              </w:rPr>
              <w:t>2</w:t>
            </w:r>
          </w:p>
        </w:tc>
        <w:tc>
          <w:tcPr>
            <w:tcW w:w="3260" w:type="dxa"/>
            <w:tcMar>
              <w:top w:w="57" w:type="dxa"/>
              <w:left w:w="113" w:type="dxa"/>
              <w:bottom w:w="57" w:type="dxa"/>
            </w:tcMar>
            <w:vAlign w:val="center"/>
          </w:tcPr>
          <w:p w14:paraId="0FC618E3" w14:textId="75986C9F" w:rsidR="00000AF7" w:rsidRPr="004439D0" w:rsidRDefault="00056610" w:rsidP="00992EC7">
            <w:pPr>
              <w:jc w:val="both"/>
              <w:rPr>
                <w:rFonts w:ascii="Verdana" w:hAnsi="Verdana" w:cs="Helvetica"/>
                <w:sz w:val="22"/>
                <w:szCs w:val="22"/>
              </w:rPr>
            </w:pPr>
            <w:r>
              <w:rPr>
                <w:rFonts w:ascii="Verdana" w:hAnsi="Verdana" w:cs="Helvetica"/>
                <w:sz w:val="22"/>
                <w:szCs w:val="22"/>
              </w:rPr>
              <w:t>Se actualiza el</w:t>
            </w:r>
            <w:r w:rsidR="006F77AA">
              <w:rPr>
                <w:rFonts w:ascii="Verdana" w:hAnsi="Verdana" w:cs="Helvetica"/>
                <w:sz w:val="22"/>
                <w:szCs w:val="22"/>
              </w:rPr>
              <w:t xml:space="preserve"> </w:t>
            </w:r>
            <w:r w:rsidR="00084554" w:rsidRPr="004439D0">
              <w:rPr>
                <w:rFonts w:ascii="Verdana" w:hAnsi="Verdana" w:cs="Helvetica"/>
                <w:sz w:val="22"/>
                <w:szCs w:val="22"/>
              </w:rPr>
              <w:t xml:space="preserve">documento </w:t>
            </w:r>
            <w:r w:rsidR="006F77AA">
              <w:rPr>
                <w:rFonts w:ascii="Verdana" w:hAnsi="Verdana" w:cs="Helvetica"/>
                <w:sz w:val="22"/>
                <w:szCs w:val="22"/>
              </w:rPr>
              <w:t xml:space="preserve">en el </w:t>
            </w:r>
            <w:r w:rsidR="00084554" w:rsidRPr="004439D0">
              <w:rPr>
                <w:rFonts w:ascii="Verdana" w:hAnsi="Verdana" w:cs="Helvetica"/>
                <w:sz w:val="22"/>
                <w:szCs w:val="22"/>
              </w:rPr>
              <w:t>formato institucional</w:t>
            </w:r>
            <w:r>
              <w:rPr>
                <w:rFonts w:ascii="Verdana" w:hAnsi="Verdana" w:cs="Helvetica"/>
                <w:sz w:val="22"/>
                <w:szCs w:val="22"/>
              </w:rPr>
              <w:t xml:space="preserve"> y s</w:t>
            </w:r>
            <w:r w:rsidRPr="00056610">
              <w:rPr>
                <w:rFonts w:ascii="Verdana" w:hAnsi="Verdana" w:cs="Helvetica"/>
                <w:sz w:val="22"/>
                <w:szCs w:val="22"/>
              </w:rPr>
              <w:t>e modifica la sección 6.2 Reunión Técnica de Administración de Riesgos, en cuanto a la periodicidad de trimestral a semestral</w:t>
            </w:r>
            <w:r w:rsidR="00084554" w:rsidRPr="004439D0">
              <w:rPr>
                <w:rFonts w:ascii="Verdana" w:hAnsi="Verdana" w:cs="Helvetica"/>
                <w:sz w:val="22"/>
                <w:szCs w:val="22"/>
              </w:rPr>
              <w:t>, modificación solicitada por la Subdirección de Riesgo</w:t>
            </w:r>
            <w:r>
              <w:rPr>
                <w:rFonts w:ascii="Verdana" w:hAnsi="Verdana" w:cs="Helvetica"/>
                <w:sz w:val="22"/>
                <w:szCs w:val="22"/>
              </w:rPr>
              <w:t>.</w:t>
            </w:r>
          </w:p>
        </w:tc>
        <w:tc>
          <w:tcPr>
            <w:tcW w:w="2253" w:type="dxa"/>
            <w:tcMar>
              <w:top w:w="57" w:type="dxa"/>
              <w:left w:w="113" w:type="dxa"/>
              <w:bottom w:w="57" w:type="dxa"/>
            </w:tcMar>
            <w:vAlign w:val="center"/>
          </w:tcPr>
          <w:p w14:paraId="3DB5739D" w14:textId="30E304B3" w:rsidR="00000AF7" w:rsidRPr="004439D0" w:rsidRDefault="006F77AA" w:rsidP="00992EC7">
            <w:pPr>
              <w:jc w:val="both"/>
              <w:rPr>
                <w:rFonts w:ascii="Verdana" w:hAnsi="Verdana" w:cs="Helvetica"/>
                <w:sz w:val="22"/>
                <w:szCs w:val="22"/>
              </w:rPr>
            </w:pPr>
            <w:r>
              <w:rPr>
                <w:rFonts w:ascii="Verdana" w:hAnsi="Verdana" w:cs="Helvetica"/>
                <w:sz w:val="22"/>
                <w:szCs w:val="22"/>
              </w:rPr>
              <w:t>Claudia Umbarila Rodríguez</w:t>
            </w:r>
          </w:p>
        </w:tc>
      </w:tr>
    </w:tbl>
    <w:p w14:paraId="1237A2BE" w14:textId="77777777" w:rsidR="004E7BF0" w:rsidRPr="004439D0" w:rsidRDefault="004E7BF0" w:rsidP="00992EC7">
      <w:pPr>
        <w:jc w:val="both"/>
        <w:rPr>
          <w:rFonts w:ascii="Verdana" w:hAnsi="Verdana" w:cs="Helvetica"/>
          <w:b/>
          <w:sz w:val="22"/>
          <w:szCs w:val="22"/>
        </w:rPr>
      </w:pPr>
    </w:p>
    <w:p w14:paraId="7B6B0D64" w14:textId="103812DC" w:rsidR="0078679A" w:rsidRDefault="0078679A" w:rsidP="00992EC7">
      <w:pPr>
        <w:jc w:val="both"/>
        <w:rPr>
          <w:rFonts w:ascii="Verdana" w:hAnsi="Verdana" w:cs="Helvetica"/>
          <w:b/>
          <w:sz w:val="22"/>
          <w:szCs w:val="22"/>
        </w:rPr>
      </w:pPr>
    </w:p>
    <w:p w14:paraId="54EDA246" w14:textId="13E72D85" w:rsidR="0078679A" w:rsidRPr="004439D0" w:rsidRDefault="006F77AA" w:rsidP="00F51EBB">
      <w:pPr>
        <w:pStyle w:val="Ttulo1"/>
        <w:numPr>
          <w:ilvl w:val="0"/>
          <w:numId w:val="24"/>
        </w:numPr>
        <w:jc w:val="both"/>
        <w:rPr>
          <w:rFonts w:ascii="Verdana" w:hAnsi="Verdana" w:cs="Helvetica"/>
          <w:sz w:val="22"/>
          <w:szCs w:val="22"/>
        </w:rPr>
      </w:pPr>
      <w:bookmarkStart w:id="116" w:name="_Toc155883065"/>
      <w:r>
        <w:rPr>
          <w:rFonts w:ascii="Verdana" w:hAnsi="Verdana" w:cs="Helvetica"/>
          <w:sz w:val="22"/>
          <w:szCs w:val="22"/>
        </w:rPr>
        <w:t xml:space="preserve"> </w:t>
      </w:r>
      <w:r w:rsidR="0078679A" w:rsidRPr="004439D0">
        <w:rPr>
          <w:rFonts w:ascii="Verdana" w:hAnsi="Verdana" w:cs="Helvetica"/>
          <w:sz w:val="22"/>
          <w:szCs w:val="22"/>
        </w:rPr>
        <w:t>APROBACIÓN</w:t>
      </w:r>
      <w:bookmarkEnd w:id="116"/>
    </w:p>
    <w:p w14:paraId="3B773577" w14:textId="77777777" w:rsidR="0078679A" w:rsidRPr="004439D0" w:rsidRDefault="0078679A" w:rsidP="00992EC7">
      <w:pPr>
        <w:jc w:val="both"/>
        <w:rPr>
          <w:rFonts w:ascii="Verdana" w:hAnsi="Verdana" w:cs="Helvetica"/>
          <w:b/>
          <w:sz w:val="22"/>
          <w:szCs w:val="22"/>
        </w:rPr>
      </w:pPr>
    </w:p>
    <w:tbl>
      <w:tblPr>
        <w:tblW w:w="913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6301"/>
      </w:tblGrid>
      <w:tr w:rsidR="004206A1" w:rsidRPr="004439D0" w14:paraId="4B27E0A5" w14:textId="77777777" w:rsidTr="006F77AA">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hideMark/>
          </w:tcPr>
          <w:p w14:paraId="674AEE7E" w14:textId="77777777" w:rsidR="004206A1" w:rsidRPr="004439D0" w:rsidRDefault="004206A1" w:rsidP="00992EC7">
            <w:pPr>
              <w:pStyle w:val="Piedepgina"/>
              <w:ind w:right="360"/>
              <w:jc w:val="both"/>
              <w:rPr>
                <w:rFonts w:ascii="Verdana" w:hAnsi="Verdana" w:cs="Helvetica"/>
                <w:b/>
                <w:color w:val="FFFFFF"/>
                <w:sz w:val="22"/>
                <w:szCs w:val="22"/>
              </w:rPr>
            </w:pPr>
            <w:r w:rsidRPr="004439D0">
              <w:rPr>
                <w:rFonts w:ascii="Verdana" w:hAnsi="Verdana" w:cs="Helvetica"/>
                <w:b/>
                <w:color w:val="FFFFFF"/>
                <w:sz w:val="22"/>
                <w:szCs w:val="22"/>
              </w:rPr>
              <w:t xml:space="preserve">ELABORADO POR: </w:t>
            </w:r>
          </w:p>
        </w:tc>
        <w:tc>
          <w:tcPr>
            <w:tcW w:w="6301" w:type="dxa"/>
            <w:tcBorders>
              <w:top w:val="single" w:sz="6" w:space="0" w:color="auto"/>
              <w:left w:val="single" w:sz="6" w:space="0" w:color="auto"/>
              <w:bottom w:val="single" w:sz="6" w:space="0" w:color="auto"/>
              <w:right w:val="single" w:sz="6" w:space="0" w:color="auto"/>
            </w:tcBorders>
            <w:shd w:val="clear" w:color="auto" w:fill="FFFFFF"/>
            <w:vAlign w:val="center"/>
          </w:tcPr>
          <w:p w14:paraId="40AC56ED" w14:textId="2A0DC4A8" w:rsidR="004206A1" w:rsidRPr="004439D0" w:rsidRDefault="004206A1" w:rsidP="00992EC7">
            <w:pPr>
              <w:pStyle w:val="Piedepgina"/>
              <w:ind w:right="360"/>
              <w:jc w:val="both"/>
              <w:rPr>
                <w:rFonts w:ascii="Verdana" w:hAnsi="Verdana" w:cs="Helvetica"/>
                <w:b/>
                <w:i/>
                <w:color w:val="C00000"/>
                <w:sz w:val="22"/>
                <w:szCs w:val="22"/>
              </w:rPr>
            </w:pPr>
            <w:r w:rsidRPr="004439D0">
              <w:rPr>
                <w:rFonts w:ascii="Verdana" w:hAnsi="Verdana" w:cs="Helvetica"/>
                <w:b/>
                <w:sz w:val="22"/>
                <w:szCs w:val="22"/>
              </w:rPr>
              <w:t xml:space="preserve">Nombre: </w:t>
            </w:r>
            <w:r w:rsidR="00B20C66" w:rsidRPr="006F77AA">
              <w:rPr>
                <w:rFonts w:ascii="Verdana" w:hAnsi="Verdana" w:cs="Helvetica"/>
                <w:bCs/>
                <w:sz w:val="22"/>
                <w:szCs w:val="22"/>
              </w:rPr>
              <w:t>John Neftali Mojica Morales</w:t>
            </w:r>
          </w:p>
          <w:p w14:paraId="2E8FA54E" w14:textId="5F189A96" w:rsidR="004206A1" w:rsidRPr="004439D0" w:rsidRDefault="004206A1" w:rsidP="00992EC7">
            <w:pPr>
              <w:pStyle w:val="Piedepgina"/>
              <w:tabs>
                <w:tab w:val="clear" w:pos="4252"/>
                <w:tab w:val="left" w:pos="4536"/>
              </w:tabs>
              <w:ind w:right="71"/>
              <w:jc w:val="both"/>
              <w:rPr>
                <w:rFonts w:ascii="Verdana" w:hAnsi="Verdana" w:cs="Helvetica"/>
                <w:b/>
                <w:sz w:val="22"/>
                <w:szCs w:val="22"/>
              </w:rPr>
            </w:pPr>
            <w:r w:rsidRPr="004439D0">
              <w:rPr>
                <w:rFonts w:ascii="Verdana" w:hAnsi="Verdana" w:cs="Helvetica"/>
                <w:b/>
                <w:sz w:val="22"/>
                <w:szCs w:val="22"/>
              </w:rPr>
              <w:t xml:space="preserve">Cargo:    </w:t>
            </w:r>
            <w:r w:rsidR="00B20C66" w:rsidRPr="004439D0">
              <w:rPr>
                <w:rFonts w:ascii="Verdana" w:hAnsi="Verdana" w:cs="Helvetica"/>
                <w:bCs/>
                <w:sz w:val="22"/>
                <w:szCs w:val="22"/>
              </w:rPr>
              <w:t>Profesional Especializado</w:t>
            </w:r>
          </w:p>
          <w:p w14:paraId="57C567B1" w14:textId="43B375C2" w:rsidR="004206A1" w:rsidRPr="004439D0" w:rsidRDefault="004206A1" w:rsidP="00992EC7">
            <w:pPr>
              <w:pStyle w:val="Piedepgina"/>
              <w:ind w:right="360"/>
              <w:jc w:val="both"/>
              <w:rPr>
                <w:rFonts w:ascii="Verdana" w:hAnsi="Verdana" w:cs="Helvetica"/>
                <w:b/>
                <w:sz w:val="22"/>
                <w:szCs w:val="22"/>
              </w:rPr>
            </w:pPr>
            <w:r w:rsidRPr="004439D0">
              <w:rPr>
                <w:rFonts w:ascii="Verdana" w:hAnsi="Verdana" w:cs="Helvetica"/>
                <w:b/>
                <w:sz w:val="22"/>
                <w:szCs w:val="22"/>
              </w:rPr>
              <w:t xml:space="preserve">Fecha:    </w:t>
            </w:r>
            <w:r w:rsidR="00B20C66" w:rsidRPr="006F77AA">
              <w:rPr>
                <w:rFonts w:ascii="Verdana" w:hAnsi="Verdana" w:cs="Helvetica"/>
                <w:bCs/>
                <w:sz w:val="22"/>
                <w:szCs w:val="22"/>
              </w:rPr>
              <w:t>10-01-202</w:t>
            </w:r>
            <w:r w:rsidR="00084554" w:rsidRPr="006F77AA">
              <w:rPr>
                <w:rFonts w:ascii="Verdana" w:hAnsi="Verdana" w:cs="Helvetica"/>
                <w:bCs/>
                <w:sz w:val="22"/>
                <w:szCs w:val="22"/>
              </w:rPr>
              <w:t>4</w:t>
            </w:r>
          </w:p>
        </w:tc>
      </w:tr>
      <w:tr w:rsidR="004206A1" w:rsidRPr="004439D0" w14:paraId="0B7E777C" w14:textId="77777777" w:rsidTr="006F77AA">
        <w:trPr>
          <w:trHeight w:val="821"/>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53E1F0A2" w14:textId="77777777" w:rsidR="004206A1" w:rsidRPr="004439D0" w:rsidRDefault="004206A1" w:rsidP="00992EC7">
            <w:pPr>
              <w:pStyle w:val="Piedepgina"/>
              <w:ind w:right="360"/>
              <w:jc w:val="both"/>
              <w:rPr>
                <w:rFonts w:ascii="Verdana" w:hAnsi="Verdana" w:cs="Helvetica"/>
                <w:b/>
                <w:color w:val="FFFFFF"/>
                <w:sz w:val="22"/>
                <w:szCs w:val="22"/>
              </w:rPr>
            </w:pPr>
            <w:r w:rsidRPr="004439D0">
              <w:rPr>
                <w:rFonts w:ascii="Verdana" w:hAnsi="Verdana" w:cs="Helvetica"/>
                <w:b/>
                <w:color w:val="FFFFFF"/>
                <w:sz w:val="22"/>
                <w:szCs w:val="22"/>
              </w:rPr>
              <w:t>REVISADO POR:</w:t>
            </w:r>
          </w:p>
        </w:tc>
        <w:tc>
          <w:tcPr>
            <w:tcW w:w="6301" w:type="dxa"/>
            <w:tcBorders>
              <w:top w:val="single" w:sz="6" w:space="0" w:color="auto"/>
              <w:left w:val="single" w:sz="6" w:space="0" w:color="auto"/>
              <w:bottom w:val="single" w:sz="6" w:space="0" w:color="auto"/>
              <w:right w:val="single" w:sz="6" w:space="0" w:color="auto"/>
            </w:tcBorders>
            <w:vAlign w:val="center"/>
          </w:tcPr>
          <w:p w14:paraId="1DD956C3" w14:textId="753AB402" w:rsidR="004206A1" w:rsidRPr="004439D0" w:rsidRDefault="004206A1" w:rsidP="00992EC7">
            <w:pPr>
              <w:pStyle w:val="Piedepgina"/>
              <w:ind w:right="360"/>
              <w:jc w:val="both"/>
              <w:rPr>
                <w:rFonts w:ascii="Verdana" w:hAnsi="Verdana" w:cs="Helvetica"/>
                <w:bCs/>
                <w:i/>
                <w:color w:val="806000"/>
                <w:sz w:val="22"/>
                <w:szCs w:val="22"/>
              </w:rPr>
            </w:pPr>
            <w:r w:rsidRPr="004439D0">
              <w:rPr>
                <w:rFonts w:ascii="Verdana" w:hAnsi="Verdana" w:cs="Helvetica"/>
                <w:b/>
                <w:sz w:val="22"/>
                <w:szCs w:val="22"/>
              </w:rPr>
              <w:t xml:space="preserve">Nombre: </w:t>
            </w:r>
            <w:r w:rsidR="00992EC7" w:rsidRPr="006F77AA">
              <w:rPr>
                <w:rFonts w:ascii="Verdana" w:hAnsi="Verdana" w:cs="Helvetica"/>
                <w:bCs/>
                <w:sz w:val="22"/>
                <w:szCs w:val="22"/>
              </w:rPr>
              <w:t>Johanna Eunice Murcia Gutierrez</w:t>
            </w:r>
          </w:p>
          <w:p w14:paraId="35E23D80" w14:textId="4A407086" w:rsidR="004206A1" w:rsidRPr="004439D0" w:rsidRDefault="004206A1" w:rsidP="00992EC7">
            <w:pPr>
              <w:pStyle w:val="Piedepgina"/>
              <w:tabs>
                <w:tab w:val="clear" w:pos="4252"/>
                <w:tab w:val="left" w:pos="4536"/>
              </w:tabs>
              <w:ind w:right="71"/>
              <w:jc w:val="both"/>
              <w:rPr>
                <w:rFonts w:ascii="Verdana" w:hAnsi="Verdana" w:cs="Helvetica"/>
                <w:bCs/>
                <w:i/>
                <w:color w:val="806000"/>
                <w:sz w:val="22"/>
                <w:szCs w:val="22"/>
              </w:rPr>
            </w:pPr>
            <w:r w:rsidRPr="004439D0">
              <w:rPr>
                <w:rFonts w:ascii="Verdana" w:hAnsi="Verdana" w:cs="Helvetica"/>
                <w:b/>
                <w:sz w:val="22"/>
                <w:szCs w:val="22"/>
              </w:rPr>
              <w:t xml:space="preserve">Cargo: </w:t>
            </w:r>
            <w:r w:rsidR="00992EC7" w:rsidRPr="004439D0">
              <w:rPr>
                <w:rFonts w:ascii="Verdana" w:hAnsi="Verdana" w:cs="Helvetica"/>
                <w:bCs/>
                <w:sz w:val="22"/>
                <w:szCs w:val="22"/>
              </w:rPr>
              <w:t>Subdirector</w:t>
            </w:r>
            <w:r w:rsidR="00F51EBB" w:rsidRPr="004439D0">
              <w:rPr>
                <w:rFonts w:ascii="Verdana" w:hAnsi="Verdana" w:cs="Helvetica"/>
                <w:bCs/>
                <w:sz w:val="22"/>
                <w:szCs w:val="22"/>
              </w:rPr>
              <w:t>a</w:t>
            </w:r>
            <w:r w:rsidR="00992EC7" w:rsidRPr="004439D0">
              <w:rPr>
                <w:rFonts w:ascii="Verdana" w:hAnsi="Verdana" w:cs="Helvetica"/>
                <w:bCs/>
                <w:sz w:val="22"/>
                <w:szCs w:val="22"/>
              </w:rPr>
              <w:t xml:space="preserve"> de Riesgo</w:t>
            </w:r>
            <w:r w:rsidRPr="004439D0">
              <w:rPr>
                <w:rFonts w:ascii="Verdana" w:hAnsi="Verdana" w:cs="Helvetica"/>
                <w:bCs/>
                <w:i/>
                <w:color w:val="806000"/>
                <w:sz w:val="22"/>
                <w:szCs w:val="22"/>
              </w:rPr>
              <w:t xml:space="preserve"> </w:t>
            </w:r>
          </w:p>
          <w:p w14:paraId="435E15FE" w14:textId="2327C827" w:rsidR="004206A1" w:rsidRPr="004439D0" w:rsidRDefault="004206A1" w:rsidP="00992EC7">
            <w:pPr>
              <w:pStyle w:val="Piedepgina"/>
              <w:ind w:right="360"/>
              <w:jc w:val="both"/>
              <w:rPr>
                <w:rFonts w:ascii="Verdana" w:hAnsi="Verdana" w:cs="Helvetica"/>
                <w:b/>
                <w:sz w:val="22"/>
                <w:szCs w:val="22"/>
              </w:rPr>
            </w:pPr>
            <w:r w:rsidRPr="004439D0">
              <w:rPr>
                <w:rFonts w:ascii="Verdana" w:hAnsi="Verdana" w:cs="Helvetica"/>
                <w:b/>
                <w:sz w:val="22"/>
                <w:szCs w:val="22"/>
              </w:rPr>
              <w:t xml:space="preserve">Fecha: </w:t>
            </w:r>
            <w:r w:rsidR="00992EC7" w:rsidRPr="006F77AA">
              <w:rPr>
                <w:rFonts w:ascii="Verdana" w:hAnsi="Verdana" w:cs="Helvetica"/>
                <w:bCs/>
                <w:sz w:val="22"/>
                <w:szCs w:val="22"/>
              </w:rPr>
              <w:t>10-01-202</w:t>
            </w:r>
            <w:r w:rsidR="00084554" w:rsidRPr="006F77AA">
              <w:rPr>
                <w:rFonts w:ascii="Verdana" w:hAnsi="Verdana" w:cs="Helvetica"/>
                <w:bCs/>
                <w:sz w:val="22"/>
                <w:szCs w:val="22"/>
              </w:rPr>
              <w:t>4</w:t>
            </w:r>
            <w:r w:rsidRPr="004439D0">
              <w:rPr>
                <w:rFonts w:ascii="Verdana" w:hAnsi="Verdana" w:cs="Helvetica"/>
                <w:b/>
                <w:sz w:val="22"/>
                <w:szCs w:val="22"/>
              </w:rPr>
              <w:t xml:space="preserve">  </w:t>
            </w:r>
          </w:p>
        </w:tc>
      </w:tr>
      <w:tr w:rsidR="004206A1" w:rsidRPr="004439D0" w14:paraId="41B9915D" w14:textId="77777777" w:rsidTr="006F77AA">
        <w:trPr>
          <w:trHeight w:val="846"/>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0DBA8B18" w14:textId="77777777" w:rsidR="004206A1" w:rsidRPr="004439D0" w:rsidRDefault="004206A1" w:rsidP="00992EC7">
            <w:pPr>
              <w:pStyle w:val="Piedepgina"/>
              <w:ind w:right="360"/>
              <w:jc w:val="both"/>
              <w:rPr>
                <w:rFonts w:ascii="Verdana" w:hAnsi="Verdana" w:cs="Helvetica"/>
                <w:b/>
                <w:color w:val="FFFFFF"/>
                <w:sz w:val="22"/>
                <w:szCs w:val="22"/>
              </w:rPr>
            </w:pPr>
            <w:r w:rsidRPr="004439D0">
              <w:rPr>
                <w:rFonts w:ascii="Verdana" w:hAnsi="Verdana" w:cs="Helvetica"/>
                <w:b/>
                <w:color w:val="FFFFFF"/>
                <w:sz w:val="22"/>
                <w:szCs w:val="22"/>
              </w:rPr>
              <w:t>APROBADO POR:</w:t>
            </w:r>
          </w:p>
        </w:tc>
        <w:tc>
          <w:tcPr>
            <w:tcW w:w="6301" w:type="dxa"/>
            <w:tcBorders>
              <w:top w:val="single" w:sz="6" w:space="0" w:color="auto"/>
              <w:left w:val="single" w:sz="6" w:space="0" w:color="auto"/>
              <w:bottom w:val="single" w:sz="6" w:space="0" w:color="auto"/>
              <w:right w:val="single" w:sz="6" w:space="0" w:color="auto"/>
            </w:tcBorders>
            <w:vAlign w:val="center"/>
          </w:tcPr>
          <w:p w14:paraId="4876D04A" w14:textId="76A8ED2D" w:rsidR="004206A1" w:rsidRPr="004439D0" w:rsidRDefault="004206A1" w:rsidP="00992EC7">
            <w:pPr>
              <w:pStyle w:val="Piedepgina"/>
              <w:ind w:right="360"/>
              <w:jc w:val="both"/>
              <w:rPr>
                <w:rFonts w:ascii="Verdana" w:hAnsi="Verdana" w:cs="Helvetica"/>
                <w:bCs/>
                <w:i/>
                <w:color w:val="806000"/>
                <w:sz w:val="22"/>
                <w:szCs w:val="22"/>
              </w:rPr>
            </w:pPr>
            <w:r w:rsidRPr="004439D0">
              <w:rPr>
                <w:rFonts w:ascii="Verdana" w:hAnsi="Verdana" w:cs="Helvetica"/>
                <w:b/>
                <w:sz w:val="22"/>
                <w:szCs w:val="22"/>
              </w:rPr>
              <w:t xml:space="preserve">Nombre: </w:t>
            </w:r>
            <w:r w:rsidR="00B756F0" w:rsidRPr="006F77AA">
              <w:rPr>
                <w:rFonts w:ascii="Verdana" w:hAnsi="Verdana" w:cs="Helvetica"/>
                <w:bCs/>
                <w:sz w:val="22"/>
                <w:szCs w:val="22"/>
              </w:rPr>
              <w:t>Jose Roberto Acosta Ramos</w:t>
            </w:r>
          </w:p>
          <w:p w14:paraId="0C9F4BFE" w14:textId="22641A50" w:rsidR="006F77AA" w:rsidRDefault="004206A1" w:rsidP="00992EC7">
            <w:pPr>
              <w:pStyle w:val="Piedepgina"/>
              <w:tabs>
                <w:tab w:val="clear" w:pos="4252"/>
                <w:tab w:val="center" w:pos="4325"/>
              </w:tabs>
              <w:ind w:right="-70"/>
              <w:jc w:val="both"/>
              <w:rPr>
                <w:rFonts w:ascii="Verdana" w:hAnsi="Verdana" w:cs="Helvetica"/>
                <w:bCs/>
                <w:sz w:val="22"/>
                <w:szCs w:val="22"/>
              </w:rPr>
            </w:pPr>
            <w:r w:rsidRPr="004439D0">
              <w:rPr>
                <w:rFonts w:ascii="Verdana" w:hAnsi="Verdana" w:cs="Helvetica"/>
                <w:b/>
                <w:sz w:val="22"/>
                <w:szCs w:val="22"/>
              </w:rPr>
              <w:t>Cargo:</w:t>
            </w:r>
            <w:r w:rsidRPr="004439D0">
              <w:rPr>
                <w:rFonts w:ascii="Verdana" w:hAnsi="Verdana" w:cs="Helvetica"/>
                <w:b/>
                <w:i/>
                <w:color w:val="C00000"/>
                <w:sz w:val="22"/>
                <w:szCs w:val="22"/>
              </w:rPr>
              <w:t xml:space="preserve"> </w:t>
            </w:r>
            <w:r w:rsidR="00B756F0" w:rsidRPr="004439D0">
              <w:rPr>
                <w:rFonts w:ascii="Verdana" w:hAnsi="Verdana" w:cs="Helvetica"/>
                <w:bCs/>
                <w:sz w:val="22"/>
                <w:szCs w:val="22"/>
              </w:rPr>
              <w:t>Director</w:t>
            </w:r>
            <w:r w:rsidR="00F51EBB" w:rsidRPr="004439D0">
              <w:rPr>
                <w:rFonts w:ascii="Verdana" w:hAnsi="Verdana" w:cs="Helvetica"/>
                <w:bCs/>
                <w:sz w:val="22"/>
                <w:szCs w:val="22"/>
              </w:rPr>
              <w:t xml:space="preserve"> </w:t>
            </w:r>
            <w:r w:rsidR="00B756F0" w:rsidRPr="004439D0">
              <w:rPr>
                <w:rFonts w:ascii="Verdana" w:hAnsi="Verdana" w:cs="Helvetica"/>
                <w:bCs/>
                <w:sz w:val="22"/>
                <w:szCs w:val="22"/>
              </w:rPr>
              <w:t>General de Crédito Público y</w:t>
            </w:r>
            <w:r w:rsidR="006F77AA">
              <w:rPr>
                <w:rFonts w:ascii="Verdana" w:hAnsi="Verdana" w:cs="Helvetica"/>
                <w:bCs/>
                <w:sz w:val="22"/>
                <w:szCs w:val="22"/>
              </w:rPr>
              <w:t xml:space="preserve"> Tesoro</w:t>
            </w:r>
          </w:p>
          <w:p w14:paraId="1121860C" w14:textId="2794C473" w:rsidR="004206A1" w:rsidRPr="004439D0" w:rsidRDefault="006F77AA" w:rsidP="00992EC7">
            <w:pPr>
              <w:pStyle w:val="Piedepgina"/>
              <w:tabs>
                <w:tab w:val="clear" w:pos="4252"/>
                <w:tab w:val="center" w:pos="4325"/>
              </w:tabs>
              <w:ind w:right="-70"/>
              <w:jc w:val="both"/>
              <w:rPr>
                <w:rFonts w:ascii="Verdana" w:hAnsi="Verdana" w:cs="Helvetica"/>
                <w:bCs/>
                <w:i/>
                <w:color w:val="806000"/>
                <w:sz w:val="22"/>
                <w:szCs w:val="22"/>
              </w:rPr>
            </w:pPr>
            <w:r>
              <w:rPr>
                <w:rFonts w:ascii="Verdana" w:hAnsi="Verdana" w:cs="Helvetica"/>
                <w:bCs/>
                <w:sz w:val="22"/>
                <w:szCs w:val="22"/>
              </w:rPr>
              <w:t xml:space="preserve">           </w:t>
            </w:r>
            <w:r w:rsidR="00B756F0" w:rsidRPr="004439D0">
              <w:rPr>
                <w:rFonts w:ascii="Verdana" w:hAnsi="Verdana" w:cs="Helvetica"/>
                <w:bCs/>
                <w:sz w:val="22"/>
                <w:szCs w:val="22"/>
              </w:rPr>
              <w:t>Nacional</w:t>
            </w:r>
            <w:r w:rsidR="004206A1" w:rsidRPr="004439D0">
              <w:rPr>
                <w:rFonts w:ascii="Verdana" w:hAnsi="Verdana" w:cs="Helvetica"/>
                <w:bCs/>
                <w:i/>
                <w:color w:val="806000"/>
                <w:sz w:val="22"/>
                <w:szCs w:val="22"/>
              </w:rPr>
              <w:t xml:space="preserve"> </w:t>
            </w:r>
          </w:p>
          <w:p w14:paraId="4E2021B2" w14:textId="12AEAE30" w:rsidR="004206A1" w:rsidRPr="004439D0" w:rsidRDefault="004206A1" w:rsidP="00992EC7">
            <w:pPr>
              <w:pStyle w:val="Piedepgina"/>
              <w:ind w:right="360"/>
              <w:jc w:val="both"/>
              <w:rPr>
                <w:rFonts w:ascii="Verdana" w:hAnsi="Verdana" w:cs="Helvetica"/>
                <w:b/>
                <w:sz w:val="22"/>
                <w:szCs w:val="22"/>
              </w:rPr>
            </w:pPr>
            <w:r w:rsidRPr="004439D0">
              <w:rPr>
                <w:rFonts w:ascii="Verdana" w:hAnsi="Verdana" w:cs="Helvetica"/>
                <w:b/>
                <w:sz w:val="22"/>
                <w:szCs w:val="22"/>
              </w:rPr>
              <w:t xml:space="preserve">Fecha: </w:t>
            </w:r>
            <w:r w:rsidR="00992EC7" w:rsidRPr="006F77AA">
              <w:rPr>
                <w:rFonts w:ascii="Verdana" w:hAnsi="Verdana" w:cs="Helvetica"/>
                <w:bCs/>
                <w:sz w:val="22"/>
                <w:szCs w:val="22"/>
              </w:rPr>
              <w:t>10-01-2024</w:t>
            </w:r>
          </w:p>
        </w:tc>
      </w:tr>
    </w:tbl>
    <w:p w14:paraId="070A859D" w14:textId="77777777" w:rsidR="00EE7950" w:rsidRPr="004439D0" w:rsidRDefault="00EE7950" w:rsidP="00992EC7">
      <w:pPr>
        <w:jc w:val="both"/>
        <w:rPr>
          <w:rFonts w:ascii="Verdana" w:hAnsi="Verdana" w:cs="Helvetica"/>
          <w:b/>
          <w:sz w:val="22"/>
          <w:szCs w:val="22"/>
        </w:rPr>
      </w:pPr>
    </w:p>
    <w:sectPr w:rsidR="00EE7950" w:rsidRPr="004439D0" w:rsidSect="00084554">
      <w:headerReference w:type="default" r:id="rId33"/>
      <w:footerReference w:type="default" r:id="rId34"/>
      <w:headerReference w:type="first" r:id="rId35"/>
      <w:pgSz w:w="12242" w:h="15842"/>
      <w:pgMar w:top="1235" w:right="1701" w:bottom="1276"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D7D7D" w14:textId="77777777" w:rsidR="00AD5299" w:rsidRDefault="00AD5299">
      <w:r>
        <w:separator/>
      </w:r>
    </w:p>
  </w:endnote>
  <w:endnote w:type="continuationSeparator" w:id="0">
    <w:p w14:paraId="58A36442" w14:textId="77777777" w:rsidR="00AD5299" w:rsidRDefault="00AD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E906" w14:textId="77777777" w:rsidR="00DE4E79" w:rsidRDefault="00DE4E79" w:rsidP="004A0461">
    <w:pPr>
      <w:pStyle w:val="Piedepgina"/>
      <w:rPr>
        <w:rFonts w:ascii="Arial Narrow" w:hAnsi="Arial Narrow"/>
        <w:sz w:val="16"/>
        <w:szCs w:val="16"/>
        <w:lang w:val="es-CO"/>
      </w:rPr>
    </w:pPr>
  </w:p>
  <w:p w14:paraId="72272C2F" w14:textId="77777777" w:rsidR="00ED2BFC" w:rsidRDefault="00ED2BFC" w:rsidP="004A0461">
    <w:pPr>
      <w:pStyle w:val="Piedepgina"/>
      <w:rPr>
        <w:rFonts w:ascii="Arial Narrow" w:hAnsi="Arial Narrow"/>
        <w:sz w:val="16"/>
        <w:szCs w:val="16"/>
        <w:lang w:val="es-CO"/>
      </w:rPr>
    </w:pPr>
  </w:p>
  <w:p w14:paraId="4871D0C5" w14:textId="77777777" w:rsidR="004A0461" w:rsidRPr="00B272FD" w:rsidRDefault="004A0461">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7DC32" w14:textId="77777777" w:rsidR="00AD5299" w:rsidRDefault="00AD5299">
      <w:r>
        <w:separator/>
      </w:r>
    </w:p>
  </w:footnote>
  <w:footnote w:type="continuationSeparator" w:id="0">
    <w:p w14:paraId="72650DB8" w14:textId="77777777" w:rsidR="00AD5299" w:rsidRDefault="00AD5299">
      <w:r>
        <w:continuationSeparator/>
      </w:r>
    </w:p>
  </w:footnote>
  <w:footnote w:id="1">
    <w:p w14:paraId="76C61A27" w14:textId="77777777" w:rsidR="006D0D5F" w:rsidRPr="008C6B03" w:rsidRDefault="006D0D5F" w:rsidP="008C6B03">
      <w:pPr>
        <w:pStyle w:val="Piedepgina"/>
        <w:jc w:val="both"/>
        <w:rPr>
          <w:rFonts w:ascii="Helvetica" w:hAnsi="Helvetica" w:cs="Helvetica"/>
        </w:rPr>
      </w:pPr>
      <w:r w:rsidRPr="008C6B03">
        <w:rPr>
          <w:rStyle w:val="Refdenotaalpie"/>
          <w:rFonts w:ascii="Helvetica" w:hAnsi="Helvetica" w:cs="Helvetica"/>
          <w:sz w:val="18"/>
          <w:szCs w:val="18"/>
        </w:rPr>
        <w:footnoteRef/>
      </w:r>
      <w:r w:rsidRPr="008C6B03">
        <w:rPr>
          <w:rFonts w:ascii="Helvetica" w:hAnsi="Helvetica" w:cs="Helvetica"/>
          <w:sz w:val="18"/>
          <w:szCs w:val="18"/>
        </w:rPr>
        <w:t xml:space="preserve"> El Comité de Supervisión Bancaria de Basilea, creado en 1975 por los Gobernadores de los bancos centrales del Grupo de los Diez, está compuesto por altos representantes de autoridades de supervisión bancaria y de bancos centrales de Alemania, Bélgica, Canadá, España, Estados Unidos, Francia, Italia, Japón, Luxemburgo, Suecia, Suiza, los Países Bajos y el Reino Unido. Sus reuniones suelen celebrarse en la sede del Banco de Pagos Internacionales en Basilea (Suiza), donde está ubicada su Secretaría.</w:t>
      </w:r>
    </w:p>
  </w:footnote>
  <w:footnote w:id="2">
    <w:p w14:paraId="3DEE523D" w14:textId="77777777" w:rsidR="00D37E14" w:rsidRPr="00F51EBB" w:rsidRDefault="00D37E14" w:rsidP="00D37E14">
      <w:pPr>
        <w:pStyle w:val="Textonotapie"/>
        <w:rPr>
          <w:rFonts w:ascii="Helvetica" w:hAnsi="Helvetica" w:cs="Helvetica"/>
          <w:sz w:val="18"/>
          <w:szCs w:val="18"/>
        </w:rPr>
      </w:pPr>
      <w:r w:rsidRPr="00F51EBB">
        <w:rPr>
          <w:rStyle w:val="Refdenotaalpie"/>
          <w:rFonts w:ascii="Helvetica" w:hAnsi="Helvetica" w:cs="Helvetica"/>
          <w:sz w:val="18"/>
          <w:szCs w:val="18"/>
        </w:rPr>
        <w:footnoteRef/>
      </w:r>
      <w:r w:rsidRPr="00F51EBB">
        <w:rPr>
          <w:rFonts w:ascii="Helvetica" w:hAnsi="Helvetica" w:cs="Helvetica"/>
          <w:sz w:val="18"/>
          <w:szCs w:val="18"/>
        </w:rPr>
        <w:t xml:space="preserve"> Basilea en su definición de Riesgo Operativo incluye el Riesgo Legal pero excluye el Riesgo Reputacional. </w:t>
      </w:r>
    </w:p>
  </w:footnote>
  <w:footnote w:id="3">
    <w:p w14:paraId="7AD5BEDB" w14:textId="77777777" w:rsidR="00D37E14" w:rsidRDefault="00D37E14" w:rsidP="00D37E14">
      <w:pPr>
        <w:pStyle w:val="Textonotapie"/>
      </w:pPr>
      <w:r w:rsidRPr="00F51EBB">
        <w:rPr>
          <w:rStyle w:val="Refdenotaalpie"/>
          <w:rFonts w:ascii="Helvetica" w:hAnsi="Helvetica" w:cs="Helvetica"/>
          <w:sz w:val="18"/>
          <w:szCs w:val="18"/>
        </w:rPr>
        <w:footnoteRef/>
      </w:r>
      <w:r w:rsidRPr="00F51EBB">
        <w:rPr>
          <w:rFonts w:ascii="Helvetica" w:hAnsi="Helvetica" w:cs="Helvetica"/>
          <w:sz w:val="18"/>
          <w:szCs w:val="18"/>
        </w:rPr>
        <w:t xml:space="preserve"> Circular Externa 041 de 2007 de la Superintendencia Financiera.</w:t>
      </w:r>
      <w:r w:rsidRPr="00F51EB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3B5310" w:rsidRPr="00107A8D" w14:paraId="2B3EAD7C" w14:textId="77777777" w:rsidTr="00600A63">
      <w:trPr>
        <w:cantSplit/>
        <w:trHeight w:val="1120"/>
        <w:jc w:val="center"/>
      </w:trPr>
      <w:tc>
        <w:tcPr>
          <w:tcW w:w="2686" w:type="dxa"/>
          <w:tcBorders>
            <w:right w:val="nil"/>
          </w:tcBorders>
          <w:vAlign w:val="center"/>
        </w:tcPr>
        <w:p w14:paraId="136F5223" w14:textId="00BF4397" w:rsidR="003B5310" w:rsidRDefault="004B329B" w:rsidP="003B5310">
          <w:pPr>
            <w:pStyle w:val="Encabezado"/>
            <w:jc w:val="center"/>
            <w:rPr>
              <w:rFonts w:ascii="Verdana" w:hAnsi="Verdana" w:cs="Arial"/>
              <w:b/>
            </w:rPr>
          </w:pPr>
          <w:r>
            <w:rPr>
              <w:noProof/>
            </w:rPr>
            <w:drawing>
              <wp:anchor distT="0" distB="0" distL="114300" distR="114300" simplePos="0" relativeHeight="251658240" behindDoc="0" locked="0" layoutInCell="1" allowOverlap="1" wp14:anchorId="1F8A54E6" wp14:editId="3DC66FE4">
                <wp:simplePos x="0" y="0"/>
                <wp:positionH relativeFrom="column">
                  <wp:posOffset>-30480</wp:posOffset>
                </wp:positionH>
                <wp:positionV relativeFrom="paragraph">
                  <wp:posOffset>-45085</wp:posOffset>
                </wp:positionV>
                <wp:extent cx="1390650" cy="812165"/>
                <wp:effectExtent l="0" t="0" r="0" b="0"/>
                <wp:wrapNone/>
                <wp:docPr id="5"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EBA9E" w14:textId="77777777" w:rsidR="003B5310" w:rsidRDefault="003B5310" w:rsidP="003B5310">
          <w:pPr>
            <w:pStyle w:val="Encabezado"/>
            <w:jc w:val="center"/>
            <w:rPr>
              <w:rFonts w:ascii="Verdana" w:hAnsi="Verdana" w:cs="Arial"/>
              <w:b/>
            </w:rPr>
          </w:pPr>
        </w:p>
        <w:p w14:paraId="3A3A1830" w14:textId="77777777" w:rsidR="003B5310" w:rsidRPr="00895E24" w:rsidRDefault="003B5310" w:rsidP="003B5310">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61BECCA4" w14:textId="4344BC8B" w:rsidR="003B5310" w:rsidRPr="00E34BDD" w:rsidRDefault="00A6330A" w:rsidP="003B5310">
          <w:pPr>
            <w:pStyle w:val="Encabezado"/>
            <w:jc w:val="center"/>
            <w:rPr>
              <w:rFonts w:ascii="Verdana" w:hAnsi="Verdana"/>
              <w:b/>
              <w:sz w:val="18"/>
              <w:szCs w:val="18"/>
            </w:rPr>
          </w:pPr>
          <w:r>
            <w:rPr>
              <w:rFonts w:ascii="Verdana" w:hAnsi="Verdana" w:cs="Arial"/>
              <w:b/>
              <w:sz w:val="24"/>
              <w:szCs w:val="24"/>
            </w:rPr>
            <w:t>Manual de Riesgo Operativo</w:t>
          </w:r>
        </w:p>
      </w:tc>
      <w:tc>
        <w:tcPr>
          <w:tcW w:w="2268" w:type="dxa"/>
          <w:tcBorders>
            <w:left w:val="nil"/>
          </w:tcBorders>
          <w:vAlign w:val="center"/>
        </w:tcPr>
        <w:p w14:paraId="6FBD9C4C" w14:textId="4D40CE66" w:rsidR="003B5310" w:rsidRDefault="004B329B" w:rsidP="003B5310">
          <w:pPr>
            <w:rPr>
              <w:rFonts w:ascii="Verdana" w:hAnsi="Verdana"/>
              <w:b/>
              <w:sz w:val="18"/>
              <w:szCs w:val="18"/>
            </w:rPr>
          </w:pPr>
          <w:r>
            <w:rPr>
              <w:noProof/>
            </w:rPr>
            <w:drawing>
              <wp:anchor distT="0" distB="0" distL="114300" distR="114300" simplePos="0" relativeHeight="251659264" behindDoc="0" locked="0" layoutInCell="1" allowOverlap="1" wp14:anchorId="18E7C237" wp14:editId="642A7E6C">
                <wp:simplePos x="0" y="0"/>
                <wp:positionH relativeFrom="column">
                  <wp:posOffset>8890</wp:posOffset>
                </wp:positionH>
                <wp:positionV relativeFrom="paragraph">
                  <wp:posOffset>-55245</wp:posOffset>
                </wp:positionV>
                <wp:extent cx="1343025" cy="619125"/>
                <wp:effectExtent l="0" t="0" r="0" b="0"/>
                <wp:wrapNone/>
                <wp:docPr id="6"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1FEF4" w14:textId="77777777" w:rsidR="003B5310" w:rsidRPr="00895E24" w:rsidRDefault="003B5310" w:rsidP="003B5310">
          <w:pPr>
            <w:pStyle w:val="Encabezado"/>
            <w:jc w:val="center"/>
            <w:rPr>
              <w:rFonts w:ascii="Verdana" w:hAnsi="Verdana"/>
              <w:b/>
              <w:sz w:val="18"/>
              <w:szCs w:val="18"/>
            </w:rPr>
          </w:pPr>
        </w:p>
      </w:tc>
    </w:tr>
  </w:tbl>
  <w:p w14:paraId="1E923588" w14:textId="77777777" w:rsidR="003B5310" w:rsidRDefault="003B5310" w:rsidP="003B5310">
    <w:pPr>
      <w:pStyle w:val="Encabezado"/>
      <w:jc w:val="right"/>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97"/>
      <w:gridCol w:w="275"/>
      <w:gridCol w:w="880"/>
      <w:gridCol w:w="1400"/>
      <w:gridCol w:w="260"/>
      <w:gridCol w:w="1172"/>
      <w:gridCol w:w="623"/>
      <w:gridCol w:w="346"/>
      <w:gridCol w:w="977"/>
      <w:gridCol w:w="1158"/>
    </w:tblGrid>
    <w:tr w:rsidR="003B5310" w14:paraId="00D5F48E" w14:textId="77777777" w:rsidTr="006F77AA">
      <w:trPr>
        <w:trHeight w:val="263"/>
        <w:jc w:val="center"/>
      </w:trPr>
      <w:tc>
        <w:tcPr>
          <w:tcW w:w="988" w:type="dxa"/>
          <w:shd w:val="clear" w:color="auto" w:fill="auto"/>
          <w:vAlign w:val="center"/>
        </w:tcPr>
        <w:p w14:paraId="6A1C60D2" w14:textId="77777777" w:rsidR="003B5310" w:rsidRPr="004439D0" w:rsidRDefault="003B5310" w:rsidP="00600A63">
          <w:pPr>
            <w:pStyle w:val="Encabezado"/>
            <w:jc w:val="center"/>
            <w:rPr>
              <w:rFonts w:ascii="Verdana" w:eastAsia="Calibri" w:hAnsi="Verdana"/>
              <w:sz w:val="18"/>
              <w:szCs w:val="18"/>
            </w:rPr>
          </w:pPr>
          <w:r w:rsidRPr="004439D0">
            <w:rPr>
              <w:rFonts w:ascii="Verdana" w:eastAsia="Calibri" w:hAnsi="Verdana"/>
              <w:b/>
              <w:sz w:val="18"/>
              <w:szCs w:val="18"/>
            </w:rPr>
            <w:t>Código:</w:t>
          </w:r>
        </w:p>
      </w:tc>
      <w:tc>
        <w:tcPr>
          <w:tcW w:w="1697" w:type="dxa"/>
          <w:shd w:val="clear" w:color="auto" w:fill="auto"/>
          <w:vAlign w:val="center"/>
        </w:tcPr>
        <w:p w14:paraId="5DBB3DE4" w14:textId="651D8DE0" w:rsidR="003B5310" w:rsidRPr="004439D0" w:rsidRDefault="00084554" w:rsidP="00600A63">
          <w:pPr>
            <w:pStyle w:val="Encabezado"/>
            <w:jc w:val="center"/>
            <w:rPr>
              <w:rFonts w:ascii="Verdana" w:eastAsia="Calibri" w:hAnsi="Verdana"/>
              <w:sz w:val="18"/>
              <w:szCs w:val="18"/>
            </w:rPr>
          </w:pPr>
          <w:r w:rsidRPr="004439D0">
            <w:rPr>
              <w:rFonts w:ascii="Verdana" w:hAnsi="Verdana" w:cs="Arial"/>
              <w:sz w:val="18"/>
              <w:szCs w:val="18"/>
            </w:rPr>
            <w:t>Mis.3.10 Man 8</w:t>
          </w:r>
        </w:p>
      </w:tc>
      <w:tc>
        <w:tcPr>
          <w:tcW w:w="275" w:type="dxa"/>
          <w:tcBorders>
            <w:top w:val="nil"/>
            <w:bottom w:val="nil"/>
          </w:tcBorders>
          <w:shd w:val="clear" w:color="auto" w:fill="auto"/>
          <w:vAlign w:val="center"/>
        </w:tcPr>
        <w:p w14:paraId="7342395A" w14:textId="77777777" w:rsidR="003B5310" w:rsidRPr="004439D0" w:rsidRDefault="003B5310" w:rsidP="00600A63">
          <w:pPr>
            <w:pStyle w:val="Encabezado"/>
            <w:jc w:val="center"/>
            <w:rPr>
              <w:rFonts w:ascii="Verdana" w:eastAsia="Calibri" w:hAnsi="Verdana"/>
              <w:sz w:val="18"/>
              <w:szCs w:val="18"/>
            </w:rPr>
          </w:pPr>
        </w:p>
      </w:tc>
      <w:tc>
        <w:tcPr>
          <w:tcW w:w="880" w:type="dxa"/>
          <w:shd w:val="clear" w:color="auto" w:fill="auto"/>
          <w:vAlign w:val="center"/>
        </w:tcPr>
        <w:p w14:paraId="4E9F369E" w14:textId="77777777" w:rsidR="003B5310" w:rsidRPr="004439D0" w:rsidRDefault="003B5310" w:rsidP="00600A63">
          <w:pPr>
            <w:pStyle w:val="Encabezado"/>
            <w:jc w:val="center"/>
            <w:rPr>
              <w:rFonts w:ascii="Verdana" w:eastAsia="Calibri" w:hAnsi="Verdana"/>
              <w:sz w:val="18"/>
              <w:szCs w:val="18"/>
            </w:rPr>
          </w:pPr>
          <w:r w:rsidRPr="004439D0">
            <w:rPr>
              <w:rFonts w:ascii="Verdana" w:eastAsia="Calibri" w:hAnsi="Verdana"/>
              <w:b/>
              <w:sz w:val="18"/>
              <w:szCs w:val="18"/>
            </w:rPr>
            <w:t>Fecha:</w:t>
          </w:r>
        </w:p>
      </w:tc>
      <w:tc>
        <w:tcPr>
          <w:tcW w:w="1400" w:type="dxa"/>
          <w:shd w:val="clear" w:color="auto" w:fill="auto"/>
          <w:vAlign w:val="center"/>
        </w:tcPr>
        <w:p w14:paraId="4CFF2E3A" w14:textId="4D151213" w:rsidR="003B5310" w:rsidRPr="004439D0" w:rsidRDefault="004439D0" w:rsidP="00600A63">
          <w:pPr>
            <w:pStyle w:val="Encabezado"/>
            <w:jc w:val="center"/>
            <w:rPr>
              <w:rFonts w:ascii="Verdana" w:eastAsia="Calibri" w:hAnsi="Verdana"/>
              <w:bCs/>
              <w:sz w:val="18"/>
              <w:szCs w:val="18"/>
            </w:rPr>
          </w:pPr>
          <w:r w:rsidRPr="004439D0">
            <w:rPr>
              <w:rFonts w:ascii="Verdana" w:eastAsia="Calibri" w:hAnsi="Verdana"/>
              <w:bCs/>
              <w:sz w:val="18"/>
              <w:szCs w:val="18"/>
            </w:rPr>
            <w:t>0</w:t>
          </w:r>
          <w:r w:rsidR="001A499E">
            <w:rPr>
              <w:rFonts w:ascii="Verdana" w:eastAsia="Calibri" w:hAnsi="Verdana"/>
              <w:bCs/>
              <w:sz w:val="18"/>
              <w:szCs w:val="18"/>
            </w:rPr>
            <w:t>9</w:t>
          </w:r>
          <w:r w:rsidR="003B5310" w:rsidRPr="004439D0">
            <w:rPr>
              <w:rFonts w:ascii="Verdana" w:eastAsia="Calibri" w:hAnsi="Verdana"/>
              <w:bCs/>
              <w:sz w:val="18"/>
              <w:szCs w:val="18"/>
            </w:rPr>
            <w:t>-</w:t>
          </w:r>
          <w:r w:rsidR="00084554" w:rsidRPr="004439D0">
            <w:rPr>
              <w:rFonts w:ascii="Verdana" w:eastAsia="Calibri" w:hAnsi="Verdana"/>
              <w:bCs/>
              <w:sz w:val="18"/>
              <w:szCs w:val="18"/>
            </w:rPr>
            <w:t>0</w:t>
          </w:r>
          <w:r w:rsidRPr="004439D0">
            <w:rPr>
              <w:rFonts w:ascii="Verdana" w:eastAsia="Calibri" w:hAnsi="Verdana"/>
              <w:bCs/>
              <w:sz w:val="18"/>
              <w:szCs w:val="18"/>
            </w:rPr>
            <w:t>2</w:t>
          </w:r>
          <w:r w:rsidR="003B5310" w:rsidRPr="004439D0">
            <w:rPr>
              <w:rFonts w:ascii="Verdana" w:eastAsia="Calibri" w:hAnsi="Verdana"/>
              <w:bCs/>
              <w:sz w:val="18"/>
              <w:szCs w:val="18"/>
            </w:rPr>
            <w:t>-</w:t>
          </w:r>
          <w:r w:rsidR="00084554" w:rsidRPr="004439D0">
            <w:rPr>
              <w:rFonts w:ascii="Verdana" w:eastAsia="Calibri" w:hAnsi="Verdana"/>
              <w:bCs/>
              <w:sz w:val="18"/>
              <w:szCs w:val="18"/>
            </w:rPr>
            <w:t>2024</w:t>
          </w:r>
        </w:p>
      </w:tc>
      <w:tc>
        <w:tcPr>
          <w:tcW w:w="260" w:type="dxa"/>
          <w:tcBorders>
            <w:top w:val="nil"/>
            <w:bottom w:val="nil"/>
          </w:tcBorders>
          <w:shd w:val="clear" w:color="auto" w:fill="auto"/>
          <w:vAlign w:val="center"/>
        </w:tcPr>
        <w:p w14:paraId="749D574F" w14:textId="77777777" w:rsidR="003B5310" w:rsidRPr="004439D0" w:rsidRDefault="003B5310" w:rsidP="00600A63">
          <w:pPr>
            <w:pStyle w:val="Encabezado"/>
            <w:jc w:val="center"/>
            <w:rPr>
              <w:rFonts w:ascii="Verdana" w:eastAsia="Calibri" w:hAnsi="Verdana"/>
              <w:sz w:val="18"/>
              <w:szCs w:val="18"/>
            </w:rPr>
          </w:pPr>
        </w:p>
      </w:tc>
      <w:tc>
        <w:tcPr>
          <w:tcW w:w="1172" w:type="dxa"/>
          <w:shd w:val="clear" w:color="auto" w:fill="auto"/>
          <w:vAlign w:val="center"/>
        </w:tcPr>
        <w:p w14:paraId="532B75A6" w14:textId="77777777" w:rsidR="003B5310" w:rsidRPr="004439D0" w:rsidRDefault="003B5310" w:rsidP="00600A63">
          <w:pPr>
            <w:pStyle w:val="Encabezado"/>
            <w:jc w:val="center"/>
            <w:rPr>
              <w:rFonts w:ascii="Verdana" w:eastAsia="Calibri" w:hAnsi="Verdana"/>
              <w:sz w:val="18"/>
              <w:szCs w:val="18"/>
            </w:rPr>
          </w:pPr>
          <w:r w:rsidRPr="004439D0">
            <w:rPr>
              <w:rFonts w:ascii="Verdana" w:eastAsia="Calibri" w:hAnsi="Verdana"/>
              <w:b/>
              <w:sz w:val="18"/>
              <w:szCs w:val="18"/>
            </w:rPr>
            <w:t>Versión:</w:t>
          </w:r>
        </w:p>
      </w:tc>
      <w:tc>
        <w:tcPr>
          <w:tcW w:w="623" w:type="dxa"/>
          <w:shd w:val="clear" w:color="auto" w:fill="auto"/>
          <w:vAlign w:val="center"/>
        </w:tcPr>
        <w:p w14:paraId="454D3633" w14:textId="364278FE" w:rsidR="003B5310" w:rsidRPr="004439D0" w:rsidRDefault="00084554" w:rsidP="00600A63">
          <w:pPr>
            <w:pStyle w:val="Encabezado"/>
            <w:jc w:val="center"/>
            <w:rPr>
              <w:rFonts w:ascii="Verdana" w:eastAsia="Calibri" w:hAnsi="Verdana"/>
              <w:sz w:val="18"/>
              <w:szCs w:val="18"/>
            </w:rPr>
          </w:pPr>
          <w:r w:rsidRPr="004439D0">
            <w:rPr>
              <w:rFonts w:ascii="Verdana" w:eastAsia="Calibri" w:hAnsi="Verdana"/>
              <w:sz w:val="18"/>
              <w:szCs w:val="18"/>
            </w:rPr>
            <w:t>2</w:t>
          </w:r>
        </w:p>
      </w:tc>
      <w:tc>
        <w:tcPr>
          <w:tcW w:w="346" w:type="dxa"/>
          <w:tcBorders>
            <w:top w:val="nil"/>
            <w:bottom w:val="nil"/>
          </w:tcBorders>
          <w:shd w:val="clear" w:color="auto" w:fill="auto"/>
          <w:vAlign w:val="center"/>
        </w:tcPr>
        <w:p w14:paraId="3E2514A6" w14:textId="77777777" w:rsidR="003B5310" w:rsidRPr="004439D0" w:rsidRDefault="003B5310" w:rsidP="00600A63">
          <w:pPr>
            <w:pStyle w:val="Encabezado"/>
            <w:jc w:val="center"/>
            <w:rPr>
              <w:rFonts w:ascii="Verdana" w:eastAsia="Calibri" w:hAnsi="Verdana"/>
              <w:sz w:val="18"/>
              <w:szCs w:val="18"/>
            </w:rPr>
          </w:pPr>
        </w:p>
      </w:tc>
      <w:tc>
        <w:tcPr>
          <w:tcW w:w="977" w:type="dxa"/>
          <w:shd w:val="clear" w:color="auto" w:fill="auto"/>
          <w:vAlign w:val="center"/>
        </w:tcPr>
        <w:p w14:paraId="2F960124" w14:textId="77777777" w:rsidR="003B5310" w:rsidRPr="004439D0" w:rsidRDefault="003B5310" w:rsidP="00600A63">
          <w:pPr>
            <w:pStyle w:val="Encabezado"/>
            <w:jc w:val="center"/>
            <w:rPr>
              <w:rFonts w:ascii="Verdana" w:eastAsia="Calibri" w:hAnsi="Verdana"/>
              <w:sz w:val="18"/>
              <w:szCs w:val="18"/>
            </w:rPr>
          </w:pPr>
          <w:r w:rsidRPr="004439D0">
            <w:rPr>
              <w:rFonts w:ascii="Verdana" w:eastAsia="Calibri" w:hAnsi="Verdana"/>
              <w:b/>
              <w:sz w:val="18"/>
              <w:szCs w:val="18"/>
            </w:rPr>
            <w:t>Página:</w:t>
          </w:r>
        </w:p>
      </w:tc>
      <w:tc>
        <w:tcPr>
          <w:tcW w:w="1158" w:type="dxa"/>
          <w:shd w:val="clear" w:color="auto" w:fill="auto"/>
          <w:vAlign w:val="center"/>
        </w:tcPr>
        <w:p w14:paraId="28B69DF1" w14:textId="77777777" w:rsidR="003B5310" w:rsidRPr="004439D0" w:rsidRDefault="003B5310" w:rsidP="00600A63">
          <w:pPr>
            <w:pStyle w:val="Encabezado"/>
            <w:jc w:val="center"/>
            <w:rPr>
              <w:rFonts w:ascii="Verdana" w:eastAsia="Calibri" w:hAnsi="Verdana"/>
              <w:sz w:val="18"/>
              <w:szCs w:val="18"/>
            </w:rPr>
          </w:pPr>
          <w:r w:rsidRPr="004439D0">
            <w:rPr>
              <w:rFonts w:ascii="Verdana" w:eastAsia="Calibri" w:hAnsi="Verdana" w:cs="Arial"/>
              <w:sz w:val="18"/>
              <w:szCs w:val="18"/>
            </w:rPr>
            <w:fldChar w:fldCharType="begin"/>
          </w:r>
          <w:r w:rsidRPr="004439D0">
            <w:rPr>
              <w:rFonts w:ascii="Verdana" w:eastAsia="Calibri" w:hAnsi="Verdana" w:cs="Arial"/>
              <w:sz w:val="18"/>
              <w:szCs w:val="18"/>
            </w:rPr>
            <w:instrText>PAGE  \* Arabic  \* MERGEFORMAT</w:instrText>
          </w:r>
          <w:r w:rsidRPr="004439D0">
            <w:rPr>
              <w:rFonts w:ascii="Verdana" w:eastAsia="Calibri" w:hAnsi="Verdana" w:cs="Arial"/>
              <w:sz w:val="18"/>
              <w:szCs w:val="18"/>
            </w:rPr>
            <w:fldChar w:fldCharType="separate"/>
          </w:r>
          <w:r w:rsidRPr="004439D0">
            <w:rPr>
              <w:rFonts w:ascii="Verdana" w:eastAsia="Calibri" w:hAnsi="Verdana" w:cs="Arial"/>
              <w:sz w:val="18"/>
              <w:szCs w:val="18"/>
            </w:rPr>
            <w:t>1</w:t>
          </w:r>
          <w:r w:rsidRPr="004439D0">
            <w:rPr>
              <w:rFonts w:ascii="Verdana" w:eastAsia="Calibri" w:hAnsi="Verdana" w:cs="Arial"/>
              <w:sz w:val="18"/>
              <w:szCs w:val="18"/>
            </w:rPr>
            <w:fldChar w:fldCharType="end"/>
          </w:r>
          <w:r w:rsidRPr="004439D0">
            <w:rPr>
              <w:rFonts w:ascii="Verdana" w:eastAsia="Calibri" w:hAnsi="Verdana" w:cs="Arial"/>
              <w:sz w:val="18"/>
              <w:szCs w:val="18"/>
            </w:rPr>
            <w:t xml:space="preserve"> de </w:t>
          </w:r>
          <w:r w:rsidRPr="004439D0">
            <w:rPr>
              <w:rFonts w:ascii="Verdana" w:eastAsia="Calibri" w:hAnsi="Verdana" w:cs="Arial"/>
              <w:sz w:val="18"/>
              <w:szCs w:val="18"/>
            </w:rPr>
            <w:fldChar w:fldCharType="begin"/>
          </w:r>
          <w:r w:rsidRPr="004439D0">
            <w:rPr>
              <w:rFonts w:ascii="Verdana" w:eastAsia="Calibri" w:hAnsi="Verdana" w:cs="Arial"/>
              <w:sz w:val="18"/>
              <w:szCs w:val="18"/>
            </w:rPr>
            <w:instrText>NUMPAGES  \* Arabic  \* MERGEFORMAT</w:instrText>
          </w:r>
          <w:r w:rsidRPr="004439D0">
            <w:rPr>
              <w:rFonts w:ascii="Verdana" w:eastAsia="Calibri" w:hAnsi="Verdana" w:cs="Arial"/>
              <w:sz w:val="18"/>
              <w:szCs w:val="18"/>
            </w:rPr>
            <w:fldChar w:fldCharType="separate"/>
          </w:r>
          <w:r w:rsidRPr="004439D0">
            <w:rPr>
              <w:rFonts w:ascii="Verdana" w:eastAsia="Calibri" w:hAnsi="Verdana" w:cs="Arial"/>
              <w:sz w:val="18"/>
              <w:szCs w:val="18"/>
            </w:rPr>
            <w:t>6</w:t>
          </w:r>
          <w:r w:rsidRPr="004439D0">
            <w:rPr>
              <w:rFonts w:ascii="Verdana" w:eastAsia="Calibri" w:hAnsi="Verdana" w:cs="Arial"/>
              <w:sz w:val="18"/>
              <w:szCs w:val="18"/>
            </w:rPr>
            <w:fldChar w:fldCharType="end"/>
          </w:r>
        </w:p>
      </w:tc>
    </w:tr>
  </w:tbl>
  <w:p w14:paraId="2B13A26F" w14:textId="77777777" w:rsidR="003B5310" w:rsidRDefault="003B5310" w:rsidP="003A6EE4">
    <w:pPr>
      <w:pStyle w:val="Encabezado"/>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4"/>
      <w:gridCol w:w="4677"/>
      <w:gridCol w:w="2161"/>
    </w:tblGrid>
    <w:tr w:rsidR="00B47A56" w:rsidRPr="00107A8D" w14:paraId="0832B4A2" w14:textId="77777777" w:rsidTr="003B5310">
      <w:trPr>
        <w:cantSplit/>
        <w:trHeight w:val="1120"/>
        <w:jc w:val="center"/>
      </w:trPr>
      <w:tc>
        <w:tcPr>
          <w:tcW w:w="2574" w:type="dxa"/>
          <w:tcBorders>
            <w:right w:val="nil"/>
          </w:tcBorders>
          <w:vAlign w:val="center"/>
        </w:tcPr>
        <w:p w14:paraId="5AD7E257" w14:textId="219CCF52" w:rsidR="00B47A56" w:rsidRDefault="004B329B" w:rsidP="00B47A56">
          <w:pPr>
            <w:pStyle w:val="Encabezado"/>
            <w:jc w:val="center"/>
            <w:rPr>
              <w:rFonts w:ascii="Verdana" w:hAnsi="Verdana" w:cs="Arial"/>
              <w:b/>
            </w:rPr>
          </w:pPr>
          <w:r>
            <w:rPr>
              <w:noProof/>
            </w:rPr>
            <w:drawing>
              <wp:anchor distT="0" distB="0" distL="114300" distR="114300" simplePos="0" relativeHeight="251656192" behindDoc="0" locked="0" layoutInCell="1" allowOverlap="1" wp14:anchorId="0E127679" wp14:editId="33B0D309">
                <wp:simplePos x="0" y="0"/>
                <wp:positionH relativeFrom="column">
                  <wp:posOffset>-30480</wp:posOffset>
                </wp:positionH>
                <wp:positionV relativeFrom="paragraph">
                  <wp:posOffset>-45085</wp:posOffset>
                </wp:positionV>
                <wp:extent cx="1390650" cy="812165"/>
                <wp:effectExtent l="0" t="0" r="0" b="0"/>
                <wp:wrapNone/>
                <wp:docPr id="7"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234" w14:textId="77777777" w:rsidR="00B47A56" w:rsidRDefault="00B47A56" w:rsidP="00B47A56">
          <w:pPr>
            <w:pStyle w:val="Encabezado"/>
            <w:jc w:val="center"/>
            <w:rPr>
              <w:rFonts w:ascii="Verdana" w:hAnsi="Verdana" w:cs="Arial"/>
              <w:b/>
            </w:rPr>
          </w:pPr>
        </w:p>
        <w:p w14:paraId="21AE0C44" w14:textId="77777777" w:rsidR="00B47A56" w:rsidRPr="00895E24" w:rsidRDefault="00B47A56" w:rsidP="00B47A56">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3B03A3F9" w14:textId="77777777" w:rsidR="004B329B" w:rsidRDefault="004B329B" w:rsidP="00B47A56">
          <w:pPr>
            <w:pStyle w:val="Encabezado"/>
            <w:jc w:val="center"/>
            <w:rPr>
              <w:rFonts w:ascii="Verdana" w:hAnsi="Verdana" w:cs="Arial"/>
              <w:b/>
              <w:sz w:val="24"/>
              <w:szCs w:val="24"/>
            </w:rPr>
          </w:pPr>
        </w:p>
        <w:p w14:paraId="2D194919" w14:textId="0F7B1C1F" w:rsidR="00B47A56" w:rsidRPr="00E34BDD" w:rsidRDefault="004B329B" w:rsidP="00B47A56">
          <w:pPr>
            <w:pStyle w:val="Encabezado"/>
            <w:jc w:val="center"/>
            <w:rPr>
              <w:rFonts w:ascii="Verdana" w:hAnsi="Verdana"/>
              <w:b/>
              <w:sz w:val="18"/>
              <w:szCs w:val="18"/>
            </w:rPr>
          </w:pPr>
          <w:r>
            <w:rPr>
              <w:noProof/>
            </w:rPr>
            <w:drawing>
              <wp:anchor distT="0" distB="0" distL="114300" distR="114300" simplePos="0" relativeHeight="251657216" behindDoc="0" locked="0" layoutInCell="1" allowOverlap="1" wp14:anchorId="7557C629" wp14:editId="2994EF3D">
                <wp:simplePos x="0" y="0"/>
                <wp:positionH relativeFrom="column">
                  <wp:posOffset>2902585</wp:posOffset>
                </wp:positionH>
                <wp:positionV relativeFrom="paragraph">
                  <wp:posOffset>-119380</wp:posOffset>
                </wp:positionV>
                <wp:extent cx="1343025" cy="619125"/>
                <wp:effectExtent l="0" t="0" r="0" b="0"/>
                <wp:wrapNone/>
                <wp:docPr id="8"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A56" w:rsidRPr="00E34BDD">
            <w:rPr>
              <w:rFonts w:ascii="Verdana" w:hAnsi="Verdana" w:cs="Arial"/>
              <w:b/>
              <w:sz w:val="24"/>
              <w:szCs w:val="24"/>
            </w:rPr>
            <w:t xml:space="preserve"> </w:t>
          </w:r>
          <w:r w:rsidR="003B5310">
            <w:rPr>
              <w:rFonts w:ascii="Verdana" w:hAnsi="Verdana" w:cs="Arial"/>
              <w:b/>
              <w:sz w:val="24"/>
              <w:szCs w:val="24"/>
            </w:rPr>
            <w:t>MANUAL</w:t>
          </w:r>
          <w:r w:rsidR="00A91B6C">
            <w:rPr>
              <w:rFonts w:ascii="Verdana" w:hAnsi="Verdana" w:cs="Arial"/>
              <w:b/>
              <w:sz w:val="24"/>
              <w:szCs w:val="24"/>
            </w:rPr>
            <w:t xml:space="preserve"> DE RIESGO OPERATIVO</w:t>
          </w:r>
        </w:p>
      </w:tc>
      <w:tc>
        <w:tcPr>
          <w:tcW w:w="2161" w:type="dxa"/>
          <w:tcBorders>
            <w:left w:val="nil"/>
          </w:tcBorders>
          <w:vAlign w:val="center"/>
        </w:tcPr>
        <w:p w14:paraId="3E1606FE" w14:textId="77777777" w:rsidR="00B47A56" w:rsidRDefault="00B47A56" w:rsidP="00B47A56">
          <w:pPr>
            <w:rPr>
              <w:rFonts w:ascii="Verdana" w:hAnsi="Verdana"/>
              <w:b/>
              <w:sz w:val="18"/>
              <w:szCs w:val="18"/>
            </w:rPr>
          </w:pPr>
        </w:p>
        <w:p w14:paraId="6E171FFA" w14:textId="77777777" w:rsidR="00B47A56" w:rsidRPr="00895E24" w:rsidRDefault="00B47A56" w:rsidP="00B47A56">
          <w:pPr>
            <w:pStyle w:val="Encabezado"/>
            <w:jc w:val="center"/>
            <w:rPr>
              <w:rFonts w:ascii="Verdana" w:hAnsi="Verdana"/>
              <w:b/>
              <w:sz w:val="18"/>
              <w:szCs w:val="18"/>
            </w:rPr>
          </w:pPr>
        </w:p>
      </w:tc>
    </w:tr>
  </w:tbl>
  <w:p w14:paraId="1C48533E" w14:textId="2141D7EB" w:rsidR="00B47A56" w:rsidRDefault="00B47A56" w:rsidP="00B47A56">
    <w:pPr>
      <w:pStyle w:val="Encabezado"/>
      <w:jc w:val="righ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699"/>
      <w:gridCol w:w="272"/>
      <w:gridCol w:w="880"/>
      <w:gridCol w:w="1362"/>
      <w:gridCol w:w="258"/>
      <w:gridCol w:w="1166"/>
      <w:gridCol w:w="608"/>
      <w:gridCol w:w="339"/>
      <w:gridCol w:w="977"/>
      <w:gridCol w:w="1093"/>
    </w:tblGrid>
    <w:tr w:rsidR="00B47A56" w14:paraId="47AC5BCE" w14:textId="77777777" w:rsidTr="004439D0">
      <w:trPr>
        <w:trHeight w:val="263"/>
        <w:jc w:val="center"/>
      </w:trPr>
      <w:tc>
        <w:tcPr>
          <w:tcW w:w="980" w:type="dxa"/>
          <w:shd w:val="clear" w:color="auto" w:fill="auto"/>
          <w:vAlign w:val="center"/>
        </w:tcPr>
        <w:p w14:paraId="1DAE2155" w14:textId="77777777" w:rsidR="00B47A56" w:rsidRPr="004439D0" w:rsidRDefault="00B47A56" w:rsidP="00600A63">
          <w:pPr>
            <w:pStyle w:val="Encabezado"/>
            <w:jc w:val="center"/>
            <w:rPr>
              <w:rFonts w:ascii="Verdana" w:eastAsia="Calibri" w:hAnsi="Verdana"/>
              <w:sz w:val="18"/>
              <w:szCs w:val="18"/>
            </w:rPr>
          </w:pPr>
          <w:r w:rsidRPr="004439D0">
            <w:rPr>
              <w:rFonts w:ascii="Verdana" w:eastAsia="Calibri" w:hAnsi="Verdana"/>
              <w:b/>
              <w:sz w:val="18"/>
              <w:szCs w:val="18"/>
            </w:rPr>
            <w:t>Código:</w:t>
          </w:r>
        </w:p>
      </w:tc>
      <w:tc>
        <w:tcPr>
          <w:tcW w:w="1699" w:type="dxa"/>
          <w:shd w:val="clear" w:color="auto" w:fill="auto"/>
          <w:vAlign w:val="center"/>
        </w:tcPr>
        <w:p w14:paraId="3C416902" w14:textId="34A83063" w:rsidR="00B47A56" w:rsidRPr="004439D0" w:rsidRDefault="00084554" w:rsidP="00600A63">
          <w:pPr>
            <w:pStyle w:val="Encabezado"/>
            <w:jc w:val="center"/>
            <w:rPr>
              <w:rFonts w:ascii="Verdana" w:eastAsia="Calibri" w:hAnsi="Verdana"/>
              <w:sz w:val="18"/>
              <w:szCs w:val="18"/>
            </w:rPr>
          </w:pPr>
          <w:r w:rsidRPr="004439D0">
            <w:rPr>
              <w:rFonts w:ascii="Verdana" w:hAnsi="Verdana" w:cs="Arial"/>
              <w:sz w:val="18"/>
              <w:szCs w:val="18"/>
            </w:rPr>
            <w:t>Mis.3.10 Man 8</w:t>
          </w:r>
        </w:p>
      </w:tc>
      <w:tc>
        <w:tcPr>
          <w:tcW w:w="272" w:type="dxa"/>
          <w:tcBorders>
            <w:top w:val="nil"/>
            <w:bottom w:val="nil"/>
          </w:tcBorders>
          <w:shd w:val="clear" w:color="auto" w:fill="auto"/>
          <w:vAlign w:val="center"/>
        </w:tcPr>
        <w:p w14:paraId="3466553B" w14:textId="77777777" w:rsidR="00B47A56" w:rsidRPr="004439D0" w:rsidRDefault="00B47A56" w:rsidP="00600A63">
          <w:pPr>
            <w:pStyle w:val="Encabezado"/>
            <w:jc w:val="center"/>
            <w:rPr>
              <w:rFonts w:ascii="Verdana" w:eastAsia="Calibri" w:hAnsi="Verdana"/>
              <w:sz w:val="18"/>
              <w:szCs w:val="18"/>
            </w:rPr>
          </w:pPr>
        </w:p>
      </w:tc>
      <w:tc>
        <w:tcPr>
          <w:tcW w:w="880" w:type="dxa"/>
          <w:shd w:val="clear" w:color="auto" w:fill="auto"/>
          <w:vAlign w:val="center"/>
        </w:tcPr>
        <w:p w14:paraId="54E09AAA" w14:textId="77777777" w:rsidR="00B47A56" w:rsidRPr="004439D0" w:rsidRDefault="00B47A56" w:rsidP="00600A63">
          <w:pPr>
            <w:pStyle w:val="Encabezado"/>
            <w:jc w:val="center"/>
            <w:rPr>
              <w:rFonts w:ascii="Verdana" w:eastAsia="Calibri" w:hAnsi="Verdana"/>
              <w:sz w:val="18"/>
              <w:szCs w:val="18"/>
            </w:rPr>
          </w:pPr>
          <w:r w:rsidRPr="004439D0">
            <w:rPr>
              <w:rFonts w:ascii="Verdana" w:eastAsia="Calibri" w:hAnsi="Verdana"/>
              <w:b/>
              <w:sz w:val="18"/>
              <w:szCs w:val="18"/>
            </w:rPr>
            <w:t>Fecha:</w:t>
          </w:r>
        </w:p>
      </w:tc>
      <w:tc>
        <w:tcPr>
          <w:tcW w:w="1362" w:type="dxa"/>
          <w:shd w:val="clear" w:color="auto" w:fill="auto"/>
          <w:vAlign w:val="center"/>
        </w:tcPr>
        <w:p w14:paraId="479A4A9E" w14:textId="0D5A7BAF" w:rsidR="00B47A56" w:rsidRPr="004439D0" w:rsidRDefault="001A499E" w:rsidP="00600A63">
          <w:pPr>
            <w:pStyle w:val="Encabezado"/>
            <w:jc w:val="center"/>
            <w:rPr>
              <w:rFonts w:ascii="Verdana" w:eastAsia="Calibri" w:hAnsi="Verdana"/>
              <w:bCs/>
              <w:sz w:val="18"/>
              <w:szCs w:val="18"/>
            </w:rPr>
          </w:pPr>
          <w:r>
            <w:rPr>
              <w:rFonts w:ascii="Verdana" w:eastAsia="Calibri" w:hAnsi="Verdana"/>
              <w:bCs/>
              <w:sz w:val="18"/>
              <w:szCs w:val="18"/>
            </w:rPr>
            <w:t>09</w:t>
          </w:r>
          <w:r w:rsidR="00B47A56" w:rsidRPr="004439D0">
            <w:rPr>
              <w:rFonts w:ascii="Verdana" w:eastAsia="Calibri" w:hAnsi="Verdana"/>
              <w:bCs/>
              <w:sz w:val="18"/>
              <w:szCs w:val="18"/>
            </w:rPr>
            <w:t>-</w:t>
          </w:r>
          <w:r w:rsidR="00084554" w:rsidRPr="004439D0">
            <w:rPr>
              <w:rFonts w:ascii="Verdana" w:eastAsia="Calibri" w:hAnsi="Verdana"/>
              <w:bCs/>
              <w:sz w:val="18"/>
              <w:szCs w:val="18"/>
            </w:rPr>
            <w:t>0</w:t>
          </w:r>
          <w:r>
            <w:rPr>
              <w:rFonts w:ascii="Verdana" w:eastAsia="Calibri" w:hAnsi="Verdana"/>
              <w:bCs/>
              <w:sz w:val="18"/>
              <w:szCs w:val="18"/>
            </w:rPr>
            <w:t>2</w:t>
          </w:r>
          <w:r w:rsidR="00B47A56" w:rsidRPr="004439D0">
            <w:rPr>
              <w:rFonts w:ascii="Verdana" w:eastAsia="Calibri" w:hAnsi="Verdana"/>
              <w:bCs/>
              <w:sz w:val="18"/>
              <w:szCs w:val="18"/>
            </w:rPr>
            <w:t>-</w:t>
          </w:r>
          <w:r w:rsidR="00084554" w:rsidRPr="004439D0">
            <w:rPr>
              <w:rFonts w:ascii="Verdana" w:eastAsia="Calibri" w:hAnsi="Verdana"/>
              <w:bCs/>
              <w:sz w:val="18"/>
              <w:szCs w:val="18"/>
            </w:rPr>
            <w:t>2004</w:t>
          </w:r>
        </w:p>
      </w:tc>
      <w:tc>
        <w:tcPr>
          <w:tcW w:w="258" w:type="dxa"/>
          <w:tcBorders>
            <w:top w:val="nil"/>
            <w:bottom w:val="nil"/>
          </w:tcBorders>
          <w:shd w:val="clear" w:color="auto" w:fill="auto"/>
          <w:vAlign w:val="center"/>
        </w:tcPr>
        <w:p w14:paraId="052D6798" w14:textId="77777777" w:rsidR="00B47A56" w:rsidRPr="004439D0" w:rsidRDefault="00B47A56" w:rsidP="00600A63">
          <w:pPr>
            <w:pStyle w:val="Encabezado"/>
            <w:jc w:val="center"/>
            <w:rPr>
              <w:rFonts w:ascii="Verdana" w:eastAsia="Calibri" w:hAnsi="Verdana"/>
              <w:sz w:val="18"/>
              <w:szCs w:val="18"/>
            </w:rPr>
          </w:pPr>
        </w:p>
      </w:tc>
      <w:tc>
        <w:tcPr>
          <w:tcW w:w="1166" w:type="dxa"/>
          <w:shd w:val="clear" w:color="auto" w:fill="auto"/>
          <w:vAlign w:val="center"/>
        </w:tcPr>
        <w:p w14:paraId="39EBDDAE" w14:textId="77777777" w:rsidR="00B47A56" w:rsidRPr="004439D0" w:rsidRDefault="00B47A56" w:rsidP="00600A63">
          <w:pPr>
            <w:pStyle w:val="Encabezado"/>
            <w:jc w:val="center"/>
            <w:rPr>
              <w:rFonts w:ascii="Verdana" w:eastAsia="Calibri" w:hAnsi="Verdana"/>
              <w:sz w:val="18"/>
              <w:szCs w:val="18"/>
            </w:rPr>
          </w:pPr>
          <w:r w:rsidRPr="004439D0">
            <w:rPr>
              <w:rFonts w:ascii="Verdana" w:eastAsia="Calibri" w:hAnsi="Verdana"/>
              <w:b/>
              <w:sz w:val="18"/>
              <w:szCs w:val="18"/>
            </w:rPr>
            <w:t>Versión:</w:t>
          </w:r>
        </w:p>
      </w:tc>
      <w:tc>
        <w:tcPr>
          <w:tcW w:w="608" w:type="dxa"/>
          <w:shd w:val="clear" w:color="auto" w:fill="auto"/>
          <w:vAlign w:val="center"/>
        </w:tcPr>
        <w:p w14:paraId="28A41D2D" w14:textId="383F74CA" w:rsidR="00B47A56" w:rsidRPr="004439D0" w:rsidRDefault="00084554" w:rsidP="00600A63">
          <w:pPr>
            <w:pStyle w:val="Encabezado"/>
            <w:jc w:val="center"/>
            <w:rPr>
              <w:rFonts w:ascii="Verdana" w:eastAsia="Calibri" w:hAnsi="Verdana"/>
              <w:sz w:val="18"/>
              <w:szCs w:val="18"/>
            </w:rPr>
          </w:pPr>
          <w:r w:rsidRPr="004439D0">
            <w:rPr>
              <w:rFonts w:ascii="Verdana" w:eastAsia="Calibri" w:hAnsi="Verdana"/>
              <w:sz w:val="18"/>
              <w:szCs w:val="18"/>
            </w:rPr>
            <w:t>2</w:t>
          </w:r>
        </w:p>
      </w:tc>
      <w:tc>
        <w:tcPr>
          <w:tcW w:w="339" w:type="dxa"/>
          <w:tcBorders>
            <w:top w:val="nil"/>
            <w:bottom w:val="nil"/>
          </w:tcBorders>
          <w:shd w:val="clear" w:color="auto" w:fill="auto"/>
          <w:vAlign w:val="center"/>
        </w:tcPr>
        <w:p w14:paraId="3B000D55" w14:textId="77777777" w:rsidR="00B47A56" w:rsidRPr="004439D0" w:rsidRDefault="00B47A56" w:rsidP="00600A63">
          <w:pPr>
            <w:pStyle w:val="Encabezado"/>
            <w:jc w:val="center"/>
            <w:rPr>
              <w:rFonts w:ascii="Verdana" w:eastAsia="Calibri" w:hAnsi="Verdana"/>
              <w:sz w:val="18"/>
              <w:szCs w:val="18"/>
            </w:rPr>
          </w:pPr>
        </w:p>
      </w:tc>
      <w:tc>
        <w:tcPr>
          <w:tcW w:w="977" w:type="dxa"/>
          <w:shd w:val="clear" w:color="auto" w:fill="auto"/>
          <w:vAlign w:val="center"/>
        </w:tcPr>
        <w:p w14:paraId="0C0C4262" w14:textId="77777777" w:rsidR="00B47A56" w:rsidRPr="004439D0" w:rsidRDefault="00B47A56" w:rsidP="00600A63">
          <w:pPr>
            <w:pStyle w:val="Encabezado"/>
            <w:jc w:val="center"/>
            <w:rPr>
              <w:rFonts w:ascii="Verdana" w:eastAsia="Calibri" w:hAnsi="Verdana"/>
              <w:sz w:val="18"/>
              <w:szCs w:val="18"/>
            </w:rPr>
          </w:pPr>
          <w:r w:rsidRPr="004439D0">
            <w:rPr>
              <w:rFonts w:ascii="Verdana" w:eastAsia="Calibri" w:hAnsi="Verdana"/>
              <w:b/>
              <w:sz w:val="18"/>
              <w:szCs w:val="18"/>
            </w:rPr>
            <w:t>Página:</w:t>
          </w:r>
        </w:p>
      </w:tc>
      <w:tc>
        <w:tcPr>
          <w:tcW w:w="1093" w:type="dxa"/>
          <w:shd w:val="clear" w:color="auto" w:fill="auto"/>
          <w:vAlign w:val="center"/>
        </w:tcPr>
        <w:p w14:paraId="4D5B6E89" w14:textId="77777777" w:rsidR="00B47A56" w:rsidRPr="004439D0" w:rsidRDefault="00B47A56" w:rsidP="00600A63">
          <w:pPr>
            <w:pStyle w:val="Encabezado"/>
            <w:jc w:val="center"/>
            <w:rPr>
              <w:rFonts w:ascii="Verdana" w:eastAsia="Calibri" w:hAnsi="Verdana"/>
              <w:sz w:val="18"/>
              <w:szCs w:val="18"/>
            </w:rPr>
          </w:pPr>
          <w:r w:rsidRPr="004439D0">
            <w:rPr>
              <w:rFonts w:ascii="Verdana" w:eastAsia="Calibri" w:hAnsi="Verdana" w:cs="Arial"/>
              <w:sz w:val="18"/>
              <w:szCs w:val="18"/>
            </w:rPr>
            <w:fldChar w:fldCharType="begin"/>
          </w:r>
          <w:r w:rsidRPr="004439D0">
            <w:rPr>
              <w:rFonts w:ascii="Verdana" w:eastAsia="Calibri" w:hAnsi="Verdana" w:cs="Arial"/>
              <w:sz w:val="18"/>
              <w:szCs w:val="18"/>
            </w:rPr>
            <w:instrText>PAGE  \* Arabic  \* MERGEFORMAT</w:instrText>
          </w:r>
          <w:r w:rsidRPr="004439D0">
            <w:rPr>
              <w:rFonts w:ascii="Verdana" w:eastAsia="Calibri" w:hAnsi="Verdana" w:cs="Arial"/>
              <w:sz w:val="18"/>
              <w:szCs w:val="18"/>
            </w:rPr>
            <w:fldChar w:fldCharType="separate"/>
          </w:r>
          <w:r w:rsidRPr="004439D0">
            <w:rPr>
              <w:rFonts w:ascii="Verdana" w:eastAsia="Calibri" w:hAnsi="Verdana" w:cs="Arial"/>
              <w:sz w:val="18"/>
              <w:szCs w:val="18"/>
            </w:rPr>
            <w:t>1</w:t>
          </w:r>
          <w:r w:rsidRPr="004439D0">
            <w:rPr>
              <w:rFonts w:ascii="Verdana" w:eastAsia="Calibri" w:hAnsi="Verdana" w:cs="Arial"/>
              <w:sz w:val="18"/>
              <w:szCs w:val="18"/>
            </w:rPr>
            <w:fldChar w:fldCharType="end"/>
          </w:r>
          <w:r w:rsidRPr="004439D0">
            <w:rPr>
              <w:rFonts w:ascii="Verdana" w:eastAsia="Calibri" w:hAnsi="Verdana" w:cs="Arial"/>
              <w:sz w:val="18"/>
              <w:szCs w:val="18"/>
            </w:rPr>
            <w:t xml:space="preserve"> de </w:t>
          </w:r>
          <w:r w:rsidRPr="004439D0">
            <w:rPr>
              <w:rFonts w:ascii="Verdana" w:eastAsia="Calibri" w:hAnsi="Verdana" w:cs="Arial"/>
              <w:sz w:val="18"/>
              <w:szCs w:val="18"/>
            </w:rPr>
            <w:fldChar w:fldCharType="begin"/>
          </w:r>
          <w:r w:rsidRPr="004439D0">
            <w:rPr>
              <w:rFonts w:ascii="Verdana" w:eastAsia="Calibri" w:hAnsi="Verdana" w:cs="Arial"/>
              <w:sz w:val="18"/>
              <w:szCs w:val="18"/>
            </w:rPr>
            <w:instrText>NUMPAGES  \* Arabic  \* MERGEFORMAT</w:instrText>
          </w:r>
          <w:r w:rsidRPr="004439D0">
            <w:rPr>
              <w:rFonts w:ascii="Verdana" w:eastAsia="Calibri" w:hAnsi="Verdana" w:cs="Arial"/>
              <w:sz w:val="18"/>
              <w:szCs w:val="18"/>
            </w:rPr>
            <w:fldChar w:fldCharType="separate"/>
          </w:r>
          <w:r w:rsidRPr="004439D0">
            <w:rPr>
              <w:rFonts w:ascii="Verdana" w:eastAsia="Calibri" w:hAnsi="Verdana" w:cs="Arial"/>
              <w:sz w:val="18"/>
              <w:szCs w:val="18"/>
            </w:rPr>
            <w:t>11</w:t>
          </w:r>
          <w:r w:rsidRPr="004439D0">
            <w:rPr>
              <w:rFonts w:ascii="Verdana" w:eastAsia="Calibri" w:hAnsi="Verdana" w:cs="Arial"/>
              <w:sz w:val="18"/>
              <w:szCs w:val="18"/>
            </w:rPr>
            <w:fldChar w:fldCharType="end"/>
          </w:r>
        </w:p>
      </w:tc>
    </w:tr>
  </w:tbl>
  <w:p w14:paraId="3A4AC61A" w14:textId="77777777" w:rsidR="00B47A56" w:rsidRDefault="00B47A56" w:rsidP="003B53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B9"/>
    <w:multiLevelType w:val="multilevel"/>
    <w:tmpl w:val="5D3405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Helvetica" w:hAnsi="Helvetica" w:cs="Helvetica" w:hint="default"/>
        <w:b/>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DF5C8D"/>
    <w:multiLevelType w:val="hybridMultilevel"/>
    <w:tmpl w:val="89364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3F3621"/>
    <w:multiLevelType w:val="hybridMultilevel"/>
    <w:tmpl w:val="E2324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115E2A"/>
    <w:multiLevelType w:val="hybridMultilevel"/>
    <w:tmpl w:val="1C02F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7352BC"/>
    <w:multiLevelType w:val="hybridMultilevel"/>
    <w:tmpl w:val="86366E36"/>
    <w:lvl w:ilvl="0" w:tplc="D4E4A606">
      <w:start w:val="1"/>
      <w:numFmt w:val="bullet"/>
      <w:lvlText w:val=""/>
      <w:lvlJc w:val="left"/>
      <w:pPr>
        <w:tabs>
          <w:tab w:val="num" w:pos="405"/>
        </w:tabs>
        <w:ind w:left="405" w:hanging="360"/>
      </w:pPr>
      <w:rPr>
        <w:rFonts w:ascii="Symbol" w:hAnsi="Symbol" w:hint="default"/>
        <w:color w:val="auto"/>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D532D0"/>
    <w:multiLevelType w:val="hybridMultilevel"/>
    <w:tmpl w:val="4A261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616370"/>
    <w:multiLevelType w:val="hybridMultilevel"/>
    <w:tmpl w:val="02F48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1568B1"/>
    <w:multiLevelType w:val="hybridMultilevel"/>
    <w:tmpl w:val="8F3C76A2"/>
    <w:lvl w:ilvl="0" w:tplc="240A000F">
      <w:start w:val="1"/>
      <w:numFmt w:val="decimal"/>
      <w:lvlText w:val="%1."/>
      <w:lvlJc w:val="left"/>
      <w:pPr>
        <w:ind w:left="360" w:hanging="360"/>
      </w:pPr>
    </w:lvl>
    <w:lvl w:ilvl="1" w:tplc="240A0019">
      <w:start w:val="1"/>
      <w:numFmt w:val="lowerLetter"/>
      <w:lvlText w:val="%2."/>
      <w:lvlJc w:val="left"/>
      <w:pPr>
        <w:ind w:left="731" w:hanging="360"/>
      </w:pPr>
    </w:lvl>
    <w:lvl w:ilvl="2" w:tplc="240A001B">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8" w15:restartNumberingAfterBreak="0">
    <w:nsid w:val="33A4470C"/>
    <w:multiLevelType w:val="multilevel"/>
    <w:tmpl w:val="BA7803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B55457"/>
    <w:multiLevelType w:val="hybridMultilevel"/>
    <w:tmpl w:val="CE4CD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2F5CA2"/>
    <w:multiLevelType w:val="hybridMultilevel"/>
    <w:tmpl w:val="0FBAA45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E185200"/>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4AF739D4"/>
    <w:multiLevelType w:val="multilevel"/>
    <w:tmpl w:val="31C015D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7273C1A"/>
    <w:multiLevelType w:val="hybridMultilevel"/>
    <w:tmpl w:val="FD40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595E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F946B9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25936F4"/>
    <w:multiLevelType w:val="hybridMultilevel"/>
    <w:tmpl w:val="FC920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6047C"/>
    <w:multiLevelType w:val="hybridMultilevel"/>
    <w:tmpl w:val="6A62A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027C27"/>
    <w:multiLevelType w:val="hybridMultilevel"/>
    <w:tmpl w:val="F768E0AA"/>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EB6B5E"/>
    <w:multiLevelType w:val="hybridMultilevel"/>
    <w:tmpl w:val="12188B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034BC6"/>
    <w:multiLevelType w:val="hybridMultilevel"/>
    <w:tmpl w:val="61B84BB4"/>
    <w:lvl w:ilvl="0" w:tplc="BB2C4040">
      <w:start w:val="1"/>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7524A04"/>
    <w:multiLevelType w:val="hybridMultilevel"/>
    <w:tmpl w:val="7B643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ED60CD"/>
    <w:multiLevelType w:val="multilevel"/>
    <w:tmpl w:val="723856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713502"/>
    <w:multiLevelType w:val="multilevel"/>
    <w:tmpl w:val="3C8E63D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23066772">
    <w:abstractNumId w:val="11"/>
  </w:num>
  <w:num w:numId="2" w16cid:durableId="2062174002">
    <w:abstractNumId w:val="22"/>
  </w:num>
  <w:num w:numId="3" w16cid:durableId="990669014">
    <w:abstractNumId w:val="21"/>
  </w:num>
  <w:num w:numId="4" w16cid:durableId="399836">
    <w:abstractNumId w:val="0"/>
  </w:num>
  <w:num w:numId="5" w16cid:durableId="1156847032">
    <w:abstractNumId w:val="3"/>
  </w:num>
  <w:num w:numId="6" w16cid:durableId="1453091176">
    <w:abstractNumId w:val="5"/>
  </w:num>
  <w:num w:numId="7" w16cid:durableId="1540700930">
    <w:abstractNumId w:val="18"/>
  </w:num>
  <w:num w:numId="8" w16cid:durableId="1776097779">
    <w:abstractNumId w:val="4"/>
  </w:num>
  <w:num w:numId="9" w16cid:durableId="903562250">
    <w:abstractNumId w:val="15"/>
  </w:num>
  <w:num w:numId="10" w16cid:durableId="2133934487">
    <w:abstractNumId w:val="20"/>
  </w:num>
  <w:num w:numId="11" w16cid:durableId="1964653323">
    <w:abstractNumId w:val="14"/>
  </w:num>
  <w:num w:numId="12" w16cid:durableId="1314144666">
    <w:abstractNumId w:val="10"/>
  </w:num>
  <w:num w:numId="13" w16cid:durableId="1652102380">
    <w:abstractNumId w:val="19"/>
  </w:num>
  <w:num w:numId="14" w16cid:durableId="1470396856">
    <w:abstractNumId w:val="13"/>
  </w:num>
  <w:num w:numId="15" w16cid:durableId="1377854920">
    <w:abstractNumId w:val="16"/>
  </w:num>
  <w:num w:numId="16" w16cid:durableId="1773356196">
    <w:abstractNumId w:val="6"/>
  </w:num>
  <w:num w:numId="17" w16cid:durableId="203755169">
    <w:abstractNumId w:val="23"/>
  </w:num>
  <w:num w:numId="18" w16cid:durableId="1891530140">
    <w:abstractNumId w:val="2"/>
  </w:num>
  <w:num w:numId="19" w16cid:durableId="915824680">
    <w:abstractNumId w:val="1"/>
  </w:num>
  <w:num w:numId="20" w16cid:durableId="817264911">
    <w:abstractNumId w:val="9"/>
  </w:num>
  <w:num w:numId="21" w16cid:durableId="1958754185">
    <w:abstractNumId w:val="17"/>
  </w:num>
  <w:num w:numId="22" w16cid:durableId="321011226">
    <w:abstractNumId w:val="7"/>
  </w:num>
  <w:num w:numId="23" w16cid:durableId="33702323">
    <w:abstractNumId w:val="8"/>
  </w:num>
  <w:num w:numId="24" w16cid:durableId="14851869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FB"/>
    <w:rsid w:val="00000AF7"/>
    <w:rsid w:val="00003938"/>
    <w:rsid w:val="000063D5"/>
    <w:rsid w:val="00021888"/>
    <w:rsid w:val="00022B38"/>
    <w:rsid w:val="00022C54"/>
    <w:rsid w:val="00022FEC"/>
    <w:rsid w:val="00035405"/>
    <w:rsid w:val="000363FA"/>
    <w:rsid w:val="00037657"/>
    <w:rsid w:val="00045B39"/>
    <w:rsid w:val="00047A24"/>
    <w:rsid w:val="00051BB2"/>
    <w:rsid w:val="00056610"/>
    <w:rsid w:val="00063D1A"/>
    <w:rsid w:val="00067096"/>
    <w:rsid w:val="00072085"/>
    <w:rsid w:val="00072C48"/>
    <w:rsid w:val="000778CC"/>
    <w:rsid w:val="00084554"/>
    <w:rsid w:val="000915CA"/>
    <w:rsid w:val="000956E7"/>
    <w:rsid w:val="00095A8F"/>
    <w:rsid w:val="000977F7"/>
    <w:rsid w:val="000A42B1"/>
    <w:rsid w:val="000B092A"/>
    <w:rsid w:val="000B16C1"/>
    <w:rsid w:val="000B4F7D"/>
    <w:rsid w:val="000C09D3"/>
    <w:rsid w:val="000C1928"/>
    <w:rsid w:val="000E4554"/>
    <w:rsid w:val="000F585F"/>
    <w:rsid w:val="00101B24"/>
    <w:rsid w:val="00102614"/>
    <w:rsid w:val="00120071"/>
    <w:rsid w:val="00131653"/>
    <w:rsid w:val="00137531"/>
    <w:rsid w:val="00143357"/>
    <w:rsid w:val="00147335"/>
    <w:rsid w:val="0015312C"/>
    <w:rsid w:val="00155B8C"/>
    <w:rsid w:val="00175F87"/>
    <w:rsid w:val="00183D82"/>
    <w:rsid w:val="00184FE0"/>
    <w:rsid w:val="001869CF"/>
    <w:rsid w:val="00193A4D"/>
    <w:rsid w:val="0019712C"/>
    <w:rsid w:val="001A1C63"/>
    <w:rsid w:val="001A499E"/>
    <w:rsid w:val="001A4C39"/>
    <w:rsid w:val="001A7EDF"/>
    <w:rsid w:val="001C136F"/>
    <w:rsid w:val="001C3D92"/>
    <w:rsid w:val="001D0C57"/>
    <w:rsid w:val="001D6664"/>
    <w:rsid w:val="001E756F"/>
    <w:rsid w:val="001E7A62"/>
    <w:rsid w:val="001F0483"/>
    <w:rsid w:val="001F289E"/>
    <w:rsid w:val="001F416E"/>
    <w:rsid w:val="001F67F1"/>
    <w:rsid w:val="001F779D"/>
    <w:rsid w:val="002007F5"/>
    <w:rsid w:val="00201974"/>
    <w:rsid w:val="00205A68"/>
    <w:rsid w:val="00210C94"/>
    <w:rsid w:val="00214097"/>
    <w:rsid w:val="002239D8"/>
    <w:rsid w:val="002277F8"/>
    <w:rsid w:val="00236220"/>
    <w:rsid w:val="002400D9"/>
    <w:rsid w:val="002409BB"/>
    <w:rsid w:val="00241A86"/>
    <w:rsid w:val="002457C1"/>
    <w:rsid w:val="0025351E"/>
    <w:rsid w:val="002648FF"/>
    <w:rsid w:val="00264F65"/>
    <w:rsid w:val="002724A4"/>
    <w:rsid w:val="002830EC"/>
    <w:rsid w:val="00292688"/>
    <w:rsid w:val="00293AFA"/>
    <w:rsid w:val="00295E82"/>
    <w:rsid w:val="002972B9"/>
    <w:rsid w:val="002A5A71"/>
    <w:rsid w:val="002A62EE"/>
    <w:rsid w:val="002A7C4C"/>
    <w:rsid w:val="002C4C63"/>
    <w:rsid w:val="002E041D"/>
    <w:rsid w:val="002E2C76"/>
    <w:rsid w:val="002E556A"/>
    <w:rsid w:val="002F02AA"/>
    <w:rsid w:val="002F271F"/>
    <w:rsid w:val="00310615"/>
    <w:rsid w:val="00314C44"/>
    <w:rsid w:val="00326F30"/>
    <w:rsid w:val="003278E5"/>
    <w:rsid w:val="00327910"/>
    <w:rsid w:val="00331F46"/>
    <w:rsid w:val="003327D5"/>
    <w:rsid w:val="00333204"/>
    <w:rsid w:val="003375DF"/>
    <w:rsid w:val="00337E5D"/>
    <w:rsid w:val="00342616"/>
    <w:rsid w:val="003434BD"/>
    <w:rsid w:val="00353A16"/>
    <w:rsid w:val="00360C32"/>
    <w:rsid w:val="00363BAD"/>
    <w:rsid w:val="00372BE9"/>
    <w:rsid w:val="00375012"/>
    <w:rsid w:val="00377878"/>
    <w:rsid w:val="003823CD"/>
    <w:rsid w:val="00385B09"/>
    <w:rsid w:val="00386147"/>
    <w:rsid w:val="0038616B"/>
    <w:rsid w:val="00386542"/>
    <w:rsid w:val="00387816"/>
    <w:rsid w:val="0039287A"/>
    <w:rsid w:val="00397FC2"/>
    <w:rsid w:val="003A1535"/>
    <w:rsid w:val="003A2C33"/>
    <w:rsid w:val="003A6EE4"/>
    <w:rsid w:val="003B2C01"/>
    <w:rsid w:val="003B4BFB"/>
    <w:rsid w:val="003B5310"/>
    <w:rsid w:val="003B729A"/>
    <w:rsid w:val="003B778A"/>
    <w:rsid w:val="003C066E"/>
    <w:rsid w:val="003C686A"/>
    <w:rsid w:val="003D278C"/>
    <w:rsid w:val="003D347E"/>
    <w:rsid w:val="003E28E6"/>
    <w:rsid w:val="003E450F"/>
    <w:rsid w:val="003F1038"/>
    <w:rsid w:val="003F5745"/>
    <w:rsid w:val="003F5C7B"/>
    <w:rsid w:val="00400CB0"/>
    <w:rsid w:val="00401E07"/>
    <w:rsid w:val="00405B5B"/>
    <w:rsid w:val="00410BD2"/>
    <w:rsid w:val="00414A58"/>
    <w:rsid w:val="004206A1"/>
    <w:rsid w:val="00425472"/>
    <w:rsid w:val="00436166"/>
    <w:rsid w:val="00436E0B"/>
    <w:rsid w:val="004439D0"/>
    <w:rsid w:val="00452029"/>
    <w:rsid w:val="00456CA7"/>
    <w:rsid w:val="004667EF"/>
    <w:rsid w:val="00471453"/>
    <w:rsid w:val="00472365"/>
    <w:rsid w:val="00472A45"/>
    <w:rsid w:val="00472A79"/>
    <w:rsid w:val="00475231"/>
    <w:rsid w:val="00476611"/>
    <w:rsid w:val="004857F2"/>
    <w:rsid w:val="00493006"/>
    <w:rsid w:val="004A02FE"/>
    <w:rsid w:val="004A0461"/>
    <w:rsid w:val="004A361C"/>
    <w:rsid w:val="004A4FCE"/>
    <w:rsid w:val="004B329B"/>
    <w:rsid w:val="004B79F3"/>
    <w:rsid w:val="004C5997"/>
    <w:rsid w:val="004D4ED1"/>
    <w:rsid w:val="004E14DA"/>
    <w:rsid w:val="004E4AB7"/>
    <w:rsid w:val="004E5AE1"/>
    <w:rsid w:val="004E7BF0"/>
    <w:rsid w:val="004F44EB"/>
    <w:rsid w:val="00500030"/>
    <w:rsid w:val="00505625"/>
    <w:rsid w:val="0050564C"/>
    <w:rsid w:val="0050701C"/>
    <w:rsid w:val="00510729"/>
    <w:rsid w:val="00510FCF"/>
    <w:rsid w:val="00513A23"/>
    <w:rsid w:val="00514D7B"/>
    <w:rsid w:val="00524CD7"/>
    <w:rsid w:val="00525A90"/>
    <w:rsid w:val="00533CDB"/>
    <w:rsid w:val="00535A29"/>
    <w:rsid w:val="0054571A"/>
    <w:rsid w:val="00547CF9"/>
    <w:rsid w:val="0055158A"/>
    <w:rsid w:val="005519C8"/>
    <w:rsid w:val="005565B2"/>
    <w:rsid w:val="00556D0A"/>
    <w:rsid w:val="00557E98"/>
    <w:rsid w:val="00560C71"/>
    <w:rsid w:val="00561EE6"/>
    <w:rsid w:val="005666FD"/>
    <w:rsid w:val="00566D2D"/>
    <w:rsid w:val="00574783"/>
    <w:rsid w:val="005755D6"/>
    <w:rsid w:val="005761C3"/>
    <w:rsid w:val="00577909"/>
    <w:rsid w:val="00594C8D"/>
    <w:rsid w:val="005A7608"/>
    <w:rsid w:val="005B0F9C"/>
    <w:rsid w:val="005D15D1"/>
    <w:rsid w:val="005D2C18"/>
    <w:rsid w:val="005D725E"/>
    <w:rsid w:val="005E1CB4"/>
    <w:rsid w:val="005E4121"/>
    <w:rsid w:val="005E4533"/>
    <w:rsid w:val="005E669E"/>
    <w:rsid w:val="00600A63"/>
    <w:rsid w:val="00600BC9"/>
    <w:rsid w:val="006032C5"/>
    <w:rsid w:val="00604D3C"/>
    <w:rsid w:val="00607015"/>
    <w:rsid w:val="00611C5F"/>
    <w:rsid w:val="00615496"/>
    <w:rsid w:val="00615BD6"/>
    <w:rsid w:val="00620D0C"/>
    <w:rsid w:val="006222AA"/>
    <w:rsid w:val="00622AE5"/>
    <w:rsid w:val="00626373"/>
    <w:rsid w:val="00630D8A"/>
    <w:rsid w:val="00652842"/>
    <w:rsid w:val="0065350D"/>
    <w:rsid w:val="00655C8F"/>
    <w:rsid w:val="006564E6"/>
    <w:rsid w:val="00656CE8"/>
    <w:rsid w:val="006576A0"/>
    <w:rsid w:val="006579B0"/>
    <w:rsid w:val="00670D20"/>
    <w:rsid w:val="0067548E"/>
    <w:rsid w:val="00675582"/>
    <w:rsid w:val="006761A3"/>
    <w:rsid w:val="00676EFE"/>
    <w:rsid w:val="006771ED"/>
    <w:rsid w:val="006865B0"/>
    <w:rsid w:val="00690FF1"/>
    <w:rsid w:val="006A09EA"/>
    <w:rsid w:val="006A1555"/>
    <w:rsid w:val="006B056D"/>
    <w:rsid w:val="006B15F1"/>
    <w:rsid w:val="006B198A"/>
    <w:rsid w:val="006B5B82"/>
    <w:rsid w:val="006B7441"/>
    <w:rsid w:val="006C06DA"/>
    <w:rsid w:val="006C5D5F"/>
    <w:rsid w:val="006C63CF"/>
    <w:rsid w:val="006D0D5F"/>
    <w:rsid w:val="006D3997"/>
    <w:rsid w:val="006E3ACC"/>
    <w:rsid w:val="006E3F80"/>
    <w:rsid w:val="006F4C6D"/>
    <w:rsid w:val="006F6E91"/>
    <w:rsid w:val="006F77AA"/>
    <w:rsid w:val="007007D9"/>
    <w:rsid w:val="007017D6"/>
    <w:rsid w:val="007036E3"/>
    <w:rsid w:val="00703C9C"/>
    <w:rsid w:val="00704835"/>
    <w:rsid w:val="00704BAC"/>
    <w:rsid w:val="007056EA"/>
    <w:rsid w:val="007115E6"/>
    <w:rsid w:val="0071376A"/>
    <w:rsid w:val="00715C69"/>
    <w:rsid w:val="00725B97"/>
    <w:rsid w:val="0072727E"/>
    <w:rsid w:val="00727418"/>
    <w:rsid w:val="00733C7F"/>
    <w:rsid w:val="00745947"/>
    <w:rsid w:val="00755DA2"/>
    <w:rsid w:val="0075716D"/>
    <w:rsid w:val="00766992"/>
    <w:rsid w:val="00773094"/>
    <w:rsid w:val="00780A33"/>
    <w:rsid w:val="00780D87"/>
    <w:rsid w:val="00781E3A"/>
    <w:rsid w:val="007850D3"/>
    <w:rsid w:val="0078679A"/>
    <w:rsid w:val="007920F8"/>
    <w:rsid w:val="00794146"/>
    <w:rsid w:val="007A17A0"/>
    <w:rsid w:val="007A4604"/>
    <w:rsid w:val="007A47A0"/>
    <w:rsid w:val="007A4A9B"/>
    <w:rsid w:val="007A7E06"/>
    <w:rsid w:val="007C5522"/>
    <w:rsid w:val="007C5ADC"/>
    <w:rsid w:val="007C65AF"/>
    <w:rsid w:val="007C71EE"/>
    <w:rsid w:val="007C74E6"/>
    <w:rsid w:val="007D452F"/>
    <w:rsid w:val="007D5B30"/>
    <w:rsid w:val="007E0751"/>
    <w:rsid w:val="007E6544"/>
    <w:rsid w:val="007F1B74"/>
    <w:rsid w:val="007F39A4"/>
    <w:rsid w:val="008007D6"/>
    <w:rsid w:val="0080382D"/>
    <w:rsid w:val="00804F18"/>
    <w:rsid w:val="008122B1"/>
    <w:rsid w:val="00812745"/>
    <w:rsid w:val="0081339E"/>
    <w:rsid w:val="0081362B"/>
    <w:rsid w:val="0081583A"/>
    <w:rsid w:val="00821D43"/>
    <w:rsid w:val="00824E85"/>
    <w:rsid w:val="00826516"/>
    <w:rsid w:val="00844A95"/>
    <w:rsid w:val="0084542F"/>
    <w:rsid w:val="00854CDF"/>
    <w:rsid w:val="00857116"/>
    <w:rsid w:val="008636B6"/>
    <w:rsid w:val="008653EE"/>
    <w:rsid w:val="00867753"/>
    <w:rsid w:val="00870964"/>
    <w:rsid w:val="00871018"/>
    <w:rsid w:val="00872CB7"/>
    <w:rsid w:val="0087418B"/>
    <w:rsid w:val="008809E7"/>
    <w:rsid w:val="00882366"/>
    <w:rsid w:val="00883C2A"/>
    <w:rsid w:val="008B4895"/>
    <w:rsid w:val="008B58C2"/>
    <w:rsid w:val="008B660F"/>
    <w:rsid w:val="008C6B03"/>
    <w:rsid w:val="008E0216"/>
    <w:rsid w:val="008E38B4"/>
    <w:rsid w:val="008E44CA"/>
    <w:rsid w:val="008E6BEC"/>
    <w:rsid w:val="008E6E7A"/>
    <w:rsid w:val="008F0E72"/>
    <w:rsid w:val="008F2E7B"/>
    <w:rsid w:val="008F55CA"/>
    <w:rsid w:val="0090151D"/>
    <w:rsid w:val="0091158D"/>
    <w:rsid w:val="00914CC9"/>
    <w:rsid w:val="00917268"/>
    <w:rsid w:val="0092547E"/>
    <w:rsid w:val="009264AA"/>
    <w:rsid w:val="009279C2"/>
    <w:rsid w:val="00932B30"/>
    <w:rsid w:val="009371D7"/>
    <w:rsid w:val="0094407F"/>
    <w:rsid w:val="00966249"/>
    <w:rsid w:val="00974849"/>
    <w:rsid w:val="009750E0"/>
    <w:rsid w:val="00976124"/>
    <w:rsid w:val="00977B45"/>
    <w:rsid w:val="009808D0"/>
    <w:rsid w:val="00992EC7"/>
    <w:rsid w:val="009A37A7"/>
    <w:rsid w:val="009C23A7"/>
    <w:rsid w:val="009C420F"/>
    <w:rsid w:val="009C441F"/>
    <w:rsid w:val="009C53A3"/>
    <w:rsid w:val="009D7458"/>
    <w:rsid w:val="009E0FDB"/>
    <w:rsid w:val="009E36A7"/>
    <w:rsid w:val="00A0515B"/>
    <w:rsid w:val="00A10F14"/>
    <w:rsid w:val="00A14ED4"/>
    <w:rsid w:val="00A15198"/>
    <w:rsid w:val="00A21B40"/>
    <w:rsid w:val="00A23D16"/>
    <w:rsid w:val="00A3796D"/>
    <w:rsid w:val="00A51563"/>
    <w:rsid w:val="00A52CBB"/>
    <w:rsid w:val="00A6161F"/>
    <w:rsid w:val="00A6330A"/>
    <w:rsid w:val="00A65C7E"/>
    <w:rsid w:val="00A668FF"/>
    <w:rsid w:val="00A67D94"/>
    <w:rsid w:val="00A723B1"/>
    <w:rsid w:val="00A848B1"/>
    <w:rsid w:val="00A86001"/>
    <w:rsid w:val="00A86089"/>
    <w:rsid w:val="00A8722D"/>
    <w:rsid w:val="00A91B6C"/>
    <w:rsid w:val="00A95CE9"/>
    <w:rsid w:val="00AB03D9"/>
    <w:rsid w:val="00AB4ECC"/>
    <w:rsid w:val="00AB715C"/>
    <w:rsid w:val="00AB763A"/>
    <w:rsid w:val="00AC74D3"/>
    <w:rsid w:val="00AD5299"/>
    <w:rsid w:val="00AD5875"/>
    <w:rsid w:val="00AE5F0A"/>
    <w:rsid w:val="00AE6EF5"/>
    <w:rsid w:val="00AF4B62"/>
    <w:rsid w:val="00B012FC"/>
    <w:rsid w:val="00B07CF2"/>
    <w:rsid w:val="00B10CBA"/>
    <w:rsid w:val="00B1289E"/>
    <w:rsid w:val="00B130ED"/>
    <w:rsid w:val="00B20B34"/>
    <w:rsid w:val="00B20C66"/>
    <w:rsid w:val="00B234BF"/>
    <w:rsid w:val="00B272FD"/>
    <w:rsid w:val="00B30209"/>
    <w:rsid w:val="00B30928"/>
    <w:rsid w:val="00B41296"/>
    <w:rsid w:val="00B41743"/>
    <w:rsid w:val="00B4360D"/>
    <w:rsid w:val="00B47A56"/>
    <w:rsid w:val="00B53EA8"/>
    <w:rsid w:val="00B56F8B"/>
    <w:rsid w:val="00B614BC"/>
    <w:rsid w:val="00B66D95"/>
    <w:rsid w:val="00B756F0"/>
    <w:rsid w:val="00B76D25"/>
    <w:rsid w:val="00B77336"/>
    <w:rsid w:val="00B91C84"/>
    <w:rsid w:val="00B92904"/>
    <w:rsid w:val="00BA388C"/>
    <w:rsid w:val="00BA5D73"/>
    <w:rsid w:val="00BB09A0"/>
    <w:rsid w:val="00BB7D0E"/>
    <w:rsid w:val="00BD60F1"/>
    <w:rsid w:val="00BE6950"/>
    <w:rsid w:val="00BE6ABE"/>
    <w:rsid w:val="00BF02B1"/>
    <w:rsid w:val="00BF28DD"/>
    <w:rsid w:val="00BF3745"/>
    <w:rsid w:val="00BF4EEE"/>
    <w:rsid w:val="00BF7F26"/>
    <w:rsid w:val="00C000E5"/>
    <w:rsid w:val="00C164C6"/>
    <w:rsid w:val="00C221C4"/>
    <w:rsid w:val="00C24C9B"/>
    <w:rsid w:val="00C27A75"/>
    <w:rsid w:val="00C30CC6"/>
    <w:rsid w:val="00C3411F"/>
    <w:rsid w:val="00C35F84"/>
    <w:rsid w:val="00C37ED3"/>
    <w:rsid w:val="00C424A7"/>
    <w:rsid w:val="00C43516"/>
    <w:rsid w:val="00C45C23"/>
    <w:rsid w:val="00C47DFB"/>
    <w:rsid w:val="00C508E6"/>
    <w:rsid w:val="00C5105C"/>
    <w:rsid w:val="00C51843"/>
    <w:rsid w:val="00C5184B"/>
    <w:rsid w:val="00C53565"/>
    <w:rsid w:val="00C55185"/>
    <w:rsid w:val="00C579F8"/>
    <w:rsid w:val="00C62134"/>
    <w:rsid w:val="00C65D11"/>
    <w:rsid w:val="00C66DFA"/>
    <w:rsid w:val="00C72D97"/>
    <w:rsid w:val="00C95485"/>
    <w:rsid w:val="00C95CE0"/>
    <w:rsid w:val="00CA27AC"/>
    <w:rsid w:val="00CB26AD"/>
    <w:rsid w:val="00CB4196"/>
    <w:rsid w:val="00CC12BC"/>
    <w:rsid w:val="00CC4DD8"/>
    <w:rsid w:val="00CC6DA2"/>
    <w:rsid w:val="00CD3A73"/>
    <w:rsid w:val="00CD797D"/>
    <w:rsid w:val="00CE1921"/>
    <w:rsid w:val="00CE79BB"/>
    <w:rsid w:val="00CF6C5F"/>
    <w:rsid w:val="00D03ACB"/>
    <w:rsid w:val="00D221DD"/>
    <w:rsid w:val="00D255E3"/>
    <w:rsid w:val="00D26192"/>
    <w:rsid w:val="00D3229F"/>
    <w:rsid w:val="00D33F4D"/>
    <w:rsid w:val="00D347FC"/>
    <w:rsid w:val="00D37E14"/>
    <w:rsid w:val="00D4131C"/>
    <w:rsid w:val="00D41D63"/>
    <w:rsid w:val="00D53EC0"/>
    <w:rsid w:val="00D672F8"/>
    <w:rsid w:val="00D71DE0"/>
    <w:rsid w:val="00D733D2"/>
    <w:rsid w:val="00D745CE"/>
    <w:rsid w:val="00D74945"/>
    <w:rsid w:val="00D77102"/>
    <w:rsid w:val="00D851BD"/>
    <w:rsid w:val="00D92917"/>
    <w:rsid w:val="00D9330E"/>
    <w:rsid w:val="00D9412B"/>
    <w:rsid w:val="00DA0835"/>
    <w:rsid w:val="00DA13FB"/>
    <w:rsid w:val="00DA72D1"/>
    <w:rsid w:val="00DA7511"/>
    <w:rsid w:val="00DB0A03"/>
    <w:rsid w:val="00DB347D"/>
    <w:rsid w:val="00DC036D"/>
    <w:rsid w:val="00DC3F2C"/>
    <w:rsid w:val="00DC5FFC"/>
    <w:rsid w:val="00DE2414"/>
    <w:rsid w:val="00DE3810"/>
    <w:rsid w:val="00DE4E79"/>
    <w:rsid w:val="00DE505F"/>
    <w:rsid w:val="00DF14A9"/>
    <w:rsid w:val="00DF5FD9"/>
    <w:rsid w:val="00DF643E"/>
    <w:rsid w:val="00E00CE9"/>
    <w:rsid w:val="00E02FE8"/>
    <w:rsid w:val="00E076DE"/>
    <w:rsid w:val="00E07D63"/>
    <w:rsid w:val="00E11BC1"/>
    <w:rsid w:val="00E11FDA"/>
    <w:rsid w:val="00E16904"/>
    <w:rsid w:val="00E16949"/>
    <w:rsid w:val="00E25DA1"/>
    <w:rsid w:val="00E355C8"/>
    <w:rsid w:val="00E50031"/>
    <w:rsid w:val="00E51E1D"/>
    <w:rsid w:val="00E530EF"/>
    <w:rsid w:val="00E6512B"/>
    <w:rsid w:val="00E66534"/>
    <w:rsid w:val="00E702B9"/>
    <w:rsid w:val="00E7687A"/>
    <w:rsid w:val="00E77DD0"/>
    <w:rsid w:val="00E84233"/>
    <w:rsid w:val="00E923F4"/>
    <w:rsid w:val="00EA4651"/>
    <w:rsid w:val="00EC1FD5"/>
    <w:rsid w:val="00EC4AA7"/>
    <w:rsid w:val="00EC52C8"/>
    <w:rsid w:val="00ED2BFC"/>
    <w:rsid w:val="00EE1127"/>
    <w:rsid w:val="00EE7950"/>
    <w:rsid w:val="00EF5019"/>
    <w:rsid w:val="00EF5AA4"/>
    <w:rsid w:val="00F006C1"/>
    <w:rsid w:val="00F00DF9"/>
    <w:rsid w:val="00F13279"/>
    <w:rsid w:val="00F162AF"/>
    <w:rsid w:val="00F20FC3"/>
    <w:rsid w:val="00F25B8A"/>
    <w:rsid w:val="00F368E9"/>
    <w:rsid w:val="00F373F2"/>
    <w:rsid w:val="00F41600"/>
    <w:rsid w:val="00F42314"/>
    <w:rsid w:val="00F46C4E"/>
    <w:rsid w:val="00F51EBB"/>
    <w:rsid w:val="00F5305E"/>
    <w:rsid w:val="00F55465"/>
    <w:rsid w:val="00F62D49"/>
    <w:rsid w:val="00F63578"/>
    <w:rsid w:val="00F6440B"/>
    <w:rsid w:val="00F65272"/>
    <w:rsid w:val="00F76949"/>
    <w:rsid w:val="00F82DEA"/>
    <w:rsid w:val="00F83FB3"/>
    <w:rsid w:val="00F94126"/>
    <w:rsid w:val="00F9741E"/>
    <w:rsid w:val="00FB181C"/>
    <w:rsid w:val="00FB5252"/>
    <w:rsid w:val="00FC0F0B"/>
    <w:rsid w:val="00FC21F1"/>
    <w:rsid w:val="00FC6E04"/>
    <w:rsid w:val="00FC7B17"/>
    <w:rsid w:val="00FC7D4F"/>
    <w:rsid w:val="00FD7C27"/>
    <w:rsid w:val="00FE32FC"/>
    <w:rsid w:val="00FE4210"/>
    <w:rsid w:val="00FE52EC"/>
    <w:rsid w:val="00FE7839"/>
    <w:rsid w:val="00FF01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DCAB0"/>
  <w15:chartTrackingRefBased/>
  <w15:docId w15:val="{B1F4A7E3-7EF2-49CF-979F-084120E4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link w:val="Ttulo3Car"/>
    <w:qFormat/>
    <w:pPr>
      <w:keepNext/>
      <w:widowControl w:val="0"/>
      <w:outlineLvl w:val="2"/>
    </w:pPr>
    <w:rPr>
      <w:sz w:val="26"/>
    </w:rPr>
  </w:style>
  <w:style w:type="paragraph" w:styleId="Ttulo4">
    <w:name w:val="heading 4"/>
    <w:basedOn w:val="Normal"/>
    <w:next w:val="Normal"/>
    <w:uiPriority w:val="9"/>
    <w:qFormat/>
    <w:pPr>
      <w:keepNext/>
      <w:widowControl w:val="0"/>
      <w:outlineLvl w:val="3"/>
    </w:pPr>
    <w:rPr>
      <w:b/>
      <w:sz w:val="26"/>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39287A"/>
    <w:pPr>
      <w:tabs>
        <w:tab w:val="left" w:pos="440"/>
        <w:tab w:val="right" w:leader="dot" w:pos="8830"/>
      </w:tabs>
    </w:pPr>
    <w:rPr>
      <w:rFonts w:ascii="Arial Narrow" w:hAnsi="Arial Narrow" w:cs="Arial"/>
      <w:b/>
      <w:noProof/>
      <w:sz w:val="24"/>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styleId="Prrafodelista">
    <w:name w:val="List Paragraph"/>
    <w:basedOn w:val="Normal"/>
    <w:uiPriority w:val="34"/>
    <w:qFormat/>
    <w:rsid w:val="004A361C"/>
    <w:pPr>
      <w:ind w:left="708"/>
    </w:p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rFonts w:ascii="Calibri Light" w:hAnsi="Calibri Light"/>
      <w:b w:val="0"/>
      <w:color w:val="2E74B5"/>
      <w:sz w:val="32"/>
      <w:szCs w:val="32"/>
      <w:lang w:val="en-US" w:eastAsia="en-US"/>
    </w:rPr>
  </w:style>
  <w:style w:type="paragraph" w:styleId="TDC2">
    <w:name w:val="toc 2"/>
    <w:basedOn w:val="Normal"/>
    <w:next w:val="Normal"/>
    <w:autoRedefine/>
    <w:uiPriority w:val="39"/>
    <w:rsid w:val="0094407F"/>
    <w:pPr>
      <w:tabs>
        <w:tab w:val="left" w:pos="709"/>
        <w:tab w:val="right" w:leader="dot" w:pos="8830"/>
      </w:tabs>
    </w:pPr>
  </w:style>
  <w:style w:type="paragraph" w:styleId="TDC3">
    <w:name w:val="toc 3"/>
    <w:basedOn w:val="Normal"/>
    <w:next w:val="Normal"/>
    <w:autoRedefine/>
    <w:uiPriority w:val="39"/>
    <w:rsid w:val="00F51EBB"/>
    <w:pPr>
      <w:tabs>
        <w:tab w:val="left" w:pos="880"/>
        <w:tab w:val="right" w:leader="dot" w:pos="8830"/>
      </w:tabs>
      <w:ind w:left="400"/>
    </w:pPr>
    <w:rPr>
      <w:rFonts w:ascii="Helvetica" w:hAnsi="Helvetica" w:cs="Helvetica"/>
      <w:bCs/>
      <w:noProof/>
    </w:rPr>
  </w:style>
  <w:style w:type="table" w:styleId="Tablaconcuadrcula">
    <w:name w:val="Table Grid"/>
    <w:basedOn w:val="Tablanormal"/>
    <w:uiPriority w:val="59"/>
    <w:rsid w:val="00B47A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3B5310"/>
    <w:rPr>
      <w:rFonts w:ascii="Segoe UI" w:hAnsi="Segoe UI" w:cs="Segoe UI" w:hint="default"/>
      <w:sz w:val="18"/>
      <w:szCs w:val="18"/>
    </w:rPr>
  </w:style>
  <w:style w:type="character" w:customStyle="1" w:styleId="Ttulo3Car">
    <w:name w:val="Título 3 Car"/>
    <w:basedOn w:val="Fuentedeprrafopredeter"/>
    <w:link w:val="Ttulo3"/>
    <w:uiPriority w:val="9"/>
    <w:rsid w:val="00D37E14"/>
    <w:rPr>
      <w:sz w:val="26"/>
      <w:lang w:val="es-ES" w:eastAsia="es-ES"/>
    </w:rPr>
  </w:style>
  <w:style w:type="paragraph" w:customStyle="1" w:styleId="Default">
    <w:name w:val="Default"/>
    <w:rsid w:val="00D37E14"/>
    <w:pPr>
      <w:autoSpaceDE w:val="0"/>
      <w:autoSpaceDN w:val="0"/>
      <w:adjustRightInd w:val="0"/>
    </w:pPr>
    <w:rPr>
      <w:rFonts w:ascii="Arial" w:hAnsi="Arial" w:cs="Arial"/>
      <w:color w:val="000000"/>
      <w:sz w:val="24"/>
      <w:szCs w:val="24"/>
      <w:lang w:eastAsia="en-US"/>
    </w:rPr>
  </w:style>
  <w:style w:type="paragraph" w:customStyle="1" w:styleId="Estilo1">
    <w:name w:val="Estilo1"/>
    <w:basedOn w:val="Ttulo3"/>
    <w:link w:val="Estilo1Car"/>
    <w:qFormat/>
    <w:rsid w:val="006D0D5F"/>
    <w:rPr>
      <w:rFonts w:ascii="Helvetica" w:hAnsi="Helvetica"/>
      <w:b/>
      <w:sz w:val="22"/>
    </w:rPr>
  </w:style>
  <w:style w:type="paragraph" w:styleId="Ttulo">
    <w:name w:val="Title"/>
    <w:basedOn w:val="Normal"/>
    <w:next w:val="Normal"/>
    <w:link w:val="TtuloCar"/>
    <w:qFormat/>
    <w:rsid w:val="00A6330A"/>
    <w:pPr>
      <w:contextualSpacing/>
    </w:pPr>
    <w:rPr>
      <w:rFonts w:asciiTheme="majorHAnsi" w:eastAsiaTheme="majorEastAsia" w:hAnsiTheme="majorHAnsi" w:cstheme="majorBidi"/>
      <w:spacing w:val="-10"/>
      <w:kern w:val="28"/>
      <w:sz w:val="56"/>
      <w:szCs w:val="56"/>
    </w:rPr>
  </w:style>
  <w:style w:type="character" w:customStyle="1" w:styleId="Estilo1Car">
    <w:name w:val="Estilo1 Car"/>
    <w:basedOn w:val="Ttulo3Car"/>
    <w:link w:val="Estilo1"/>
    <w:rsid w:val="006D0D5F"/>
    <w:rPr>
      <w:rFonts w:ascii="Helvetica" w:hAnsi="Helvetica"/>
      <w:b/>
      <w:sz w:val="22"/>
      <w:lang w:val="es-ES" w:eastAsia="es-ES"/>
    </w:rPr>
  </w:style>
  <w:style w:type="character" w:customStyle="1" w:styleId="TtuloCar">
    <w:name w:val="Título Car"/>
    <w:basedOn w:val="Fuentedeprrafopredeter"/>
    <w:link w:val="Ttulo"/>
    <w:rsid w:val="00A6330A"/>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29645884">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79906112">
      <w:bodyDiv w:val="1"/>
      <w:marLeft w:val="0"/>
      <w:marRight w:val="0"/>
      <w:marTop w:val="0"/>
      <w:marBottom w:val="0"/>
      <w:divBdr>
        <w:top w:val="none" w:sz="0" w:space="0" w:color="auto"/>
        <w:left w:val="none" w:sz="0" w:space="0" w:color="auto"/>
        <w:bottom w:val="none" w:sz="0" w:space="0" w:color="auto"/>
        <w:right w:val="none" w:sz="0" w:space="0" w:color="auto"/>
      </w:divBdr>
    </w:div>
    <w:div w:id="1806967824">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1045970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21" Type="http://schemas.microsoft.com/office/2007/relationships/diagramDrawing" Target="diagrams/drawing2.xm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3.xml"/><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1.png"/><Relationship Id="rId27" Type="http://schemas.microsoft.com/office/2007/relationships/diagramDrawing" Target="diagrams/drawing3.xml"/><Relationship Id="rId30" Type="http://schemas.openxmlformats.org/officeDocument/2006/relationships/image" Target="media/image4.emf"/><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1484-FDAC-49C3-B49D-7437F89D142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ES"/>
        </a:p>
      </dgm:t>
    </dgm:pt>
    <dgm:pt modelId="{0150FC75-916E-4CBF-BC0C-4417E4F44A5A}">
      <dgm:prSet phldrT="[Texto]"/>
      <dgm:spPr/>
      <dgm:t>
        <a:bodyPr/>
        <a:lstStyle/>
        <a:p>
          <a:r>
            <a:rPr lang="es-ES" dirty="0"/>
            <a:t>Dirección de Crédito Publico y Tesoro Nacional</a:t>
          </a:r>
        </a:p>
      </dgm:t>
    </dgm:pt>
    <dgm:pt modelId="{94C52706-E144-4055-8446-76899D89F5E7}" type="parTrans" cxnId="{571207C8-68AA-454B-8001-985DF9116ECF}">
      <dgm:prSet/>
      <dgm:spPr/>
      <dgm:t>
        <a:bodyPr/>
        <a:lstStyle/>
        <a:p>
          <a:endParaRPr lang="es-ES"/>
        </a:p>
      </dgm:t>
    </dgm:pt>
    <dgm:pt modelId="{1E865523-D30F-43DF-AB1F-F66A328BDDE0}" type="sibTrans" cxnId="{571207C8-68AA-454B-8001-985DF9116ECF}">
      <dgm:prSet/>
      <dgm:spPr/>
      <dgm:t>
        <a:bodyPr/>
        <a:lstStyle/>
        <a:p>
          <a:endParaRPr lang="es-ES"/>
        </a:p>
      </dgm:t>
    </dgm:pt>
    <dgm:pt modelId="{50AE9901-FAA4-4C01-A658-00AEDBE0BF9C}" type="asst">
      <dgm:prSet phldrT="[Texto]"/>
      <dgm:spPr/>
      <dgm:t>
        <a:bodyPr/>
        <a:lstStyle/>
        <a:p>
          <a:r>
            <a:rPr lang="es-ES" dirty="0"/>
            <a:t>Grupo de Asuntos Legales</a:t>
          </a:r>
        </a:p>
      </dgm:t>
    </dgm:pt>
    <dgm:pt modelId="{5B9EC400-681E-4815-9FF6-BD9E56977BBB}" type="parTrans" cxnId="{8FDD0262-855A-4DEA-90E4-853F9E597123}">
      <dgm:prSet/>
      <dgm:spPr/>
      <dgm:t>
        <a:bodyPr/>
        <a:lstStyle/>
        <a:p>
          <a:endParaRPr lang="es-ES"/>
        </a:p>
      </dgm:t>
    </dgm:pt>
    <dgm:pt modelId="{C4F98EA2-6F82-48F7-BC9B-C54B6F836865}" type="sibTrans" cxnId="{8FDD0262-855A-4DEA-90E4-853F9E597123}">
      <dgm:prSet/>
      <dgm:spPr/>
      <dgm:t>
        <a:bodyPr/>
        <a:lstStyle/>
        <a:p>
          <a:endParaRPr lang="es-ES"/>
        </a:p>
      </dgm:t>
    </dgm:pt>
    <dgm:pt modelId="{11D12E2C-6395-4F2D-AF2A-73444B53736B}">
      <dgm:prSet phldrT="[Texto]"/>
      <dgm:spPr/>
      <dgm:t>
        <a:bodyPr/>
        <a:lstStyle/>
        <a:p>
          <a:r>
            <a:rPr lang="es-ES" dirty="0"/>
            <a:t>Subdirección de Financiamiento Interno de la Nación</a:t>
          </a:r>
        </a:p>
      </dgm:t>
    </dgm:pt>
    <dgm:pt modelId="{00207057-996B-4900-A68E-5BD89617D221}" type="parTrans" cxnId="{B3F0379E-2F79-49DC-B55B-E5FF565B22CA}">
      <dgm:prSet/>
      <dgm:spPr/>
      <dgm:t>
        <a:bodyPr/>
        <a:lstStyle/>
        <a:p>
          <a:endParaRPr lang="es-ES"/>
        </a:p>
      </dgm:t>
    </dgm:pt>
    <dgm:pt modelId="{9C183944-0E06-4854-970C-164B72C5E77D}" type="sibTrans" cxnId="{B3F0379E-2F79-49DC-B55B-E5FF565B22CA}">
      <dgm:prSet/>
      <dgm:spPr/>
      <dgm:t>
        <a:bodyPr/>
        <a:lstStyle/>
        <a:p>
          <a:endParaRPr lang="es-ES"/>
        </a:p>
      </dgm:t>
    </dgm:pt>
    <dgm:pt modelId="{8DA4A4D0-1ABF-4CA7-A492-C434CFB3DA02}">
      <dgm:prSet phldrT="[Texto]"/>
      <dgm:spPr/>
      <dgm:t>
        <a:bodyPr/>
        <a:lstStyle/>
        <a:p>
          <a:r>
            <a:rPr lang="es-ES" dirty="0"/>
            <a:t>Subdirección de Tesorería</a:t>
          </a:r>
        </a:p>
      </dgm:t>
    </dgm:pt>
    <dgm:pt modelId="{B5F99398-FFC3-41F6-A73B-406CE7341DA6}" type="parTrans" cxnId="{EB7F9A46-9BB5-4066-B147-73FF53888212}">
      <dgm:prSet/>
      <dgm:spPr/>
      <dgm:t>
        <a:bodyPr/>
        <a:lstStyle/>
        <a:p>
          <a:endParaRPr lang="es-ES"/>
        </a:p>
      </dgm:t>
    </dgm:pt>
    <dgm:pt modelId="{C279D643-C343-4596-AEE0-DDD2F830F0F3}" type="sibTrans" cxnId="{EB7F9A46-9BB5-4066-B147-73FF53888212}">
      <dgm:prSet/>
      <dgm:spPr/>
      <dgm:t>
        <a:bodyPr/>
        <a:lstStyle/>
        <a:p>
          <a:endParaRPr lang="es-ES"/>
        </a:p>
      </dgm:t>
    </dgm:pt>
    <dgm:pt modelId="{C3BE351D-70AD-473D-B986-269022F3B594}">
      <dgm:prSet phldrT="[Texto]"/>
      <dgm:spPr/>
      <dgm:t>
        <a:bodyPr/>
        <a:lstStyle/>
        <a:p>
          <a:r>
            <a:rPr lang="es-ES" dirty="0"/>
            <a:t>Subdirección de Financiamiento Externo de la Nación</a:t>
          </a:r>
        </a:p>
      </dgm:t>
    </dgm:pt>
    <dgm:pt modelId="{25777104-3CE9-491A-9012-6FE04D7CBF67}" type="parTrans" cxnId="{C76B92C0-5CDB-4F74-A889-8C6613C697EF}">
      <dgm:prSet/>
      <dgm:spPr/>
      <dgm:t>
        <a:bodyPr/>
        <a:lstStyle/>
        <a:p>
          <a:endParaRPr lang="es-ES"/>
        </a:p>
      </dgm:t>
    </dgm:pt>
    <dgm:pt modelId="{293E36B9-57F7-41F0-902C-6A316123B241}" type="sibTrans" cxnId="{C76B92C0-5CDB-4F74-A889-8C6613C697EF}">
      <dgm:prSet/>
      <dgm:spPr/>
      <dgm:t>
        <a:bodyPr/>
        <a:lstStyle/>
        <a:p>
          <a:endParaRPr lang="es-ES"/>
        </a:p>
      </dgm:t>
    </dgm:pt>
    <dgm:pt modelId="{C2F9876D-DC07-4A7D-A187-712E71CADEFE}">
      <dgm:prSet phldrT="[Texto]"/>
      <dgm:spPr/>
      <dgm:t>
        <a:bodyPr/>
        <a:lstStyle/>
        <a:p>
          <a:r>
            <a:rPr lang="es-ES" dirty="0"/>
            <a:t>Subdirección de Financiamiento de Otras Entidades, Seguimiento Saneamiento y Cartera.</a:t>
          </a:r>
        </a:p>
      </dgm:t>
    </dgm:pt>
    <dgm:pt modelId="{8C411D13-472B-4538-A101-4233DF60E04F}" type="parTrans" cxnId="{DA3CD70C-4542-49E7-B453-378D52B20791}">
      <dgm:prSet/>
      <dgm:spPr/>
      <dgm:t>
        <a:bodyPr/>
        <a:lstStyle/>
        <a:p>
          <a:endParaRPr lang="es-ES"/>
        </a:p>
      </dgm:t>
    </dgm:pt>
    <dgm:pt modelId="{7C954110-E157-4C39-8978-DA2F236034D4}" type="sibTrans" cxnId="{DA3CD70C-4542-49E7-B453-378D52B20791}">
      <dgm:prSet/>
      <dgm:spPr/>
      <dgm:t>
        <a:bodyPr/>
        <a:lstStyle/>
        <a:p>
          <a:endParaRPr lang="es-ES"/>
        </a:p>
      </dgm:t>
    </dgm:pt>
    <dgm:pt modelId="{51852D51-3089-4EB5-8728-D2253EC87081}">
      <dgm:prSet phldrT="[Texto]"/>
      <dgm:spPr/>
      <dgm:t>
        <a:bodyPr/>
        <a:lstStyle/>
        <a:p>
          <a:r>
            <a:rPr lang="es-ES" dirty="0"/>
            <a:t>Subdirección de Financiamiento con Organismos Multilaterales y Gobiernos</a:t>
          </a:r>
        </a:p>
      </dgm:t>
    </dgm:pt>
    <dgm:pt modelId="{42EA9671-E1CA-4E39-A228-BF6DEDE6CBD6}" type="parTrans" cxnId="{7F95BCE8-232E-4EA8-89DE-BED1FDEC76C3}">
      <dgm:prSet/>
      <dgm:spPr/>
      <dgm:t>
        <a:bodyPr/>
        <a:lstStyle/>
        <a:p>
          <a:endParaRPr lang="es-ES"/>
        </a:p>
      </dgm:t>
    </dgm:pt>
    <dgm:pt modelId="{378AE8B8-6471-4281-8BBC-E04F73D7F9B0}" type="sibTrans" cxnId="{7F95BCE8-232E-4EA8-89DE-BED1FDEC76C3}">
      <dgm:prSet/>
      <dgm:spPr/>
      <dgm:t>
        <a:bodyPr/>
        <a:lstStyle/>
        <a:p>
          <a:endParaRPr lang="es-ES"/>
        </a:p>
      </dgm:t>
    </dgm:pt>
    <dgm:pt modelId="{3F7B4609-1259-4CB7-938B-788C14096565}">
      <dgm:prSet phldrT="[Texto]"/>
      <dgm:spPr/>
      <dgm:t>
        <a:bodyPr/>
        <a:lstStyle/>
        <a:p>
          <a:r>
            <a:rPr lang="es-ES" dirty="0"/>
            <a:t>Subdirección de Asociaciones Publico Privadas</a:t>
          </a:r>
        </a:p>
      </dgm:t>
    </dgm:pt>
    <dgm:pt modelId="{8B9F7D33-3E9C-4AEF-AF3D-1DF5B28014BB}" type="parTrans" cxnId="{2F223BEA-41C0-48A3-80EE-8722A32573A8}">
      <dgm:prSet/>
      <dgm:spPr/>
      <dgm:t>
        <a:bodyPr/>
        <a:lstStyle/>
        <a:p>
          <a:endParaRPr lang="es-ES"/>
        </a:p>
      </dgm:t>
    </dgm:pt>
    <dgm:pt modelId="{7656F832-3DA0-4609-9145-950F428EEE1B}" type="sibTrans" cxnId="{2F223BEA-41C0-48A3-80EE-8722A32573A8}">
      <dgm:prSet/>
      <dgm:spPr/>
      <dgm:t>
        <a:bodyPr/>
        <a:lstStyle/>
        <a:p>
          <a:endParaRPr lang="es-ES"/>
        </a:p>
      </dgm:t>
    </dgm:pt>
    <dgm:pt modelId="{EEE5AD3A-2310-4252-AEBA-B59936E2C5B5}">
      <dgm:prSet phldrT="[Texto]"/>
      <dgm:spPr/>
      <dgm:t>
        <a:bodyPr/>
        <a:lstStyle/>
        <a:p>
          <a:r>
            <a:rPr lang="es-ES" dirty="0"/>
            <a:t>Subdirección de Operaciones</a:t>
          </a:r>
        </a:p>
      </dgm:t>
    </dgm:pt>
    <dgm:pt modelId="{EB87E498-0314-4AA5-8C94-E2044F98E727}" type="parTrans" cxnId="{1A1E3528-0CF8-49BB-88A0-30337E8A6CD6}">
      <dgm:prSet/>
      <dgm:spPr/>
      <dgm:t>
        <a:bodyPr/>
        <a:lstStyle/>
        <a:p>
          <a:endParaRPr lang="es-ES"/>
        </a:p>
      </dgm:t>
    </dgm:pt>
    <dgm:pt modelId="{AE5974DD-9F0A-4F5F-A407-6CF055949BF8}" type="sibTrans" cxnId="{1A1E3528-0CF8-49BB-88A0-30337E8A6CD6}">
      <dgm:prSet/>
      <dgm:spPr/>
      <dgm:t>
        <a:bodyPr/>
        <a:lstStyle/>
        <a:p>
          <a:endParaRPr lang="es-ES"/>
        </a:p>
      </dgm:t>
    </dgm:pt>
    <dgm:pt modelId="{DA7BE96B-4CC3-4B95-8054-5DC8F396356E}">
      <dgm:prSet phldrT="[Texto]"/>
      <dgm:spPr/>
      <dgm:t>
        <a:bodyPr/>
        <a:lstStyle/>
        <a:p>
          <a:r>
            <a:rPr lang="es-ES" dirty="0"/>
            <a:t>Subdirección de Riesgo</a:t>
          </a:r>
        </a:p>
      </dgm:t>
    </dgm:pt>
    <dgm:pt modelId="{1D89EC40-89B9-46DC-97B6-864B2A83134D}" type="parTrans" cxnId="{3455FBAD-6536-4B14-97A2-297B6B3C8A9B}">
      <dgm:prSet/>
      <dgm:spPr/>
      <dgm:t>
        <a:bodyPr/>
        <a:lstStyle/>
        <a:p>
          <a:endParaRPr lang="es-ES"/>
        </a:p>
      </dgm:t>
    </dgm:pt>
    <dgm:pt modelId="{7472FFC2-18D3-4985-9E2D-E950B795FCFD}" type="sibTrans" cxnId="{3455FBAD-6536-4B14-97A2-297B6B3C8A9B}">
      <dgm:prSet/>
      <dgm:spPr/>
      <dgm:t>
        <a:bodyPr/>
        <a:lstStyle/>
        <a:p>
          <a:endParaRPr lang="es-ES"/>
        </a:p>
      </dgm:t>
    </dgm:pt>
    <dgm:pt modelId="{44366D95-9974-464F-805E-CF4DD61BD780}" type="pres">
      <dgm:prSet presAssocID="{6B741484-FDAC-49C3-B49D-7437F89D1421}" presName="hierChild1" presStyleCnt="0">
        <dgm:presLayoutVars>
          <dgm:orgChart val="1"/>
          <dgm:chPref val="1"/>
          <dgm:dir/>
          <dgm:animOne val="branch"/>
          <dgm:animLvl val="lvl"/>
          <dgm:resizeHandles/>
        </dgm:presLayoutVars>
      </dgm:prSet>
      <dgm:spPr/>
    </dgm:pt>
    <dgm:pt modelId="{9C2AE9E3-97FA-496C-BD68-84020977804B}" type="pres">
      <dgm:prSet presAssocID="{0150FC75-916E-4CBF-BC0C-4417E4F44A5A}" presName="hierRoot1" presStyleCnt="0">
        <dgm:presLayoutVars>
          <dgm:hierBranch val="init"/>
        </dgm:presLayoutVars>
      </dgm:prSet>
      <dgm:spPr/>
    </dgm:pt>
    <dgm:pt modelId="{4F8D57E4-6F53-4521-B9D5-A0EB24F5C25A}" type="pres">
      <dgm:prSet presAssocID="{0150FC75-916E-4CBF-BC0C-4417E4F44A5A}" presName="rootComposite1" presStyleCnt="0"/>
      <dgm:spPr/>
    </dgm:pt>
    <dgm:pt modelId="{AC0D94B6-78FD-49A4-B914-B00C9AC18057}" type="pres">
      <dgm:prSet presAssocID="{0150FC75-916E-4CBF-BC0C-4417E4F44A5A}" presName="rootText1" presStyleLbl="node0" presStyleIdx="0" presStyleCnt="1">
        <dgm:presLayoutVars>
          <dgm:chPref val="3"/>
        </dgm:presLayoutVars>
      </dgm:prSet>
      <dgm:spPr/>
    </dgm:pt>
    <dgm:pt modelId="{68B66424-EB53-4FD5-B47C-B3D426CC356C}" type="pres">
      <dgm:prSet presAssocID="{0150FC75-916E-4CBF-BC0C-4417E4F44A5A}" presName="rootConnector1" presStyleLbl="node1" presStyleIdx="0" presStyleCnt="0"/>
      <dgm:spPr/>
    </dgm:pt>
    <dgm:pt modelId="{DF9E8412-9595-44BA-9813-DC16886A8F76}" type="pres">
      <dgm:prSet presAssocID="{0150FC75-916E-4CBF-BC0C-4417E4F44A5A}" presName="hierChild2" presStyleCnt="0"/>
      <dgm:spPr/>
    </dgm:pt>
    <dgm:pt modelId="{82BFA320-4210-4D2E-926F-B5374CC3153A}" type="pres">
      <dgm:prSet presAssocID="{00207057-996B-4900-A68E-5BD89617D221}" presName="Name64" presStyleLbl="parChTrans1D2" presStyleIdx="0" presStyleCnt="9"/>
      <dgm:spPr/>
    </dgm:pt>
    <dgm:pt modelId="{A33B5ED0-834E-4425-A737-321BEEAB279C}" type="pres">
      <dgm:prSet presAssocID="{11D12E2C-6395-4F2D-AF2A-73444B53736B}" presName="hierRoot2" presStyleCnt="0">
        <dgm:presLayoutVars>
          <dgm:hierBranch val="init"/>
        </dgm:presLayoutVars>
      </dgm:prSet>
      <dgm:spPr/>
    </dgm:pt>
    <dgm:pt modelId="{AAFC1A7E-386E-4019-86D5-FFB5E7D5B65B}" type="pres">
      <dgm:prSet presAssocID="{11D12E2C-6395-4F2D-AF2A-73444B53736B}" presName="rootComposite" presStyleCnt="0"/>
      <dgm:spPr/>
    </dgm:pt>
    <dgm:pt modelId="{EBE584FD-AD8A-4179-B707-3ADE66DA534B}" type="pres">
      <dgm:prSet presAssocID="{11D12E2C-6395-4F2D-AF2A-73444B53736B}" presName="rootText" presStyleLbl="node2" presStyleIdx="0" presStyleCnt="8">
        <dgm:presLayoutVars>
          <dgm:chPref val="3"/>
        </dgm:presLayoutVars>
      </dgm:prSet>
      <dgm:spPr/>
    </dgm:pt>
    <dgm:pt modelId="{9BE82144-47F7-463A-B0A3-26118BC985EF}" type="pres">
      <dgm:prSet presAssocID="{11D12E2C-6395-4F2D-AF2A-73444B53736B}" presName="rootConnector" presStyleLbl="node2" presStyleIdx="0" presStyleCnt="8"/>
      <dgm:spPr/>
    </dgm:pt>
    <dgm:pt modelId="{187E42A2-B17C-48BA-BBB4-D00FF7BBFAED}" type="pres">
      <dgm:prSet presAssocID="{11D12E2C-6395-4F2D-AF2A-73444B53736B}" presName="hierChild4" presStyleCnt="0"/>
      <dgm:spPr/>
    </dgm:pt>
    <dgm:pt modelId="{B0C1635A-A586-4D8D-A6D8-537A047FFEE7}" type="pres">
      <dgm:prSet presAssocID="{11D12E2C-6395-4F2D-AF2A-73444B53736B}" presName="hierChild5" presStyleCnt="0"/>
      <dgm:spPr/>
    </dgm:pt>
    <dgm:pt modelId="{D195A68C-BF3E-4FDC-B71D-5F013C75EA2C}" type="pres">
      <dgm:prSet presAssocID="{B5F99398-FFC3-41F6-A73B-406CE7341DA6}" presName="Name64" presStyleLbl="parChTrans1D2" presStyleIdx="1" presStyleCnt="9"/>
      <dgm:spPr/>
    </dgm:pt>
    <dgm:pt modelId="{193F5C12-C7D7-4A7F-A1D9-ABC3B9E12EFF}" type="pres">
      <dgm:prSet presAssocID="{8DA4A4D0-1ABF-4CA7-A492-C434CFB3DA02}" presName="hierRoot2" presStyleCnt="0">
        <dgm:presLayoutVars>
          <dgm:hierBranch val="init"/>
        </dgm:presLayoutVars>
      </dgm:prSet>
      <dgm:spPr/>
    </dgm:pt>
    <dgm:pt modelId="{981D2FC8-E26B-43CE-A913-F6D1A205632A}" type="pres">
      <dgm:prSet presAssocID="{8DA4A4D0-1ABF-4CA7-A492-C434CFB3DA02}" presName="rootComposite" presStyleCnt="0"/>
      <dgm:spPr/>
    </dgm:pt>
    <dgm:pt modelId="{3E20C04A-75F6-4324-982E-12484631C914}" type="pres">
      <dgm:prSet presAssocID="{8DA4A4D0-1ABF-4CA7-A492-C434CFB3DA02}" presName="rootText" presStyleLbl="node2" presStyleIdx="1" presStyleCnt="8">
        <dgm:presLayoutVars>
          <dgm:chPref val="3"/>
        </dgm:presLayoutVars>
      </dgm:prSet>
      <dgm:spPr/>
    </dgm:pt>
    <dgm:pt modelId="{CA450C1C-C0D5-457E-89E1-2885B050C527}" type="pres">
      <dgm:prSet presAssocID="{8DA4A4D0-1ABF-4CA7-A492-C434CFB3DA02}" presName="rootConnector" presStyleLbl="node2" presStyleIdx="1" presStyleCnt="8"/>
      <dgm:spPr/>
    </dgm:pt>
    <dgm:pt modelId="{5116CA76-9BE2-4817-B166-BB1913C81565}" type="pres">
      <dgm:prSet presAssocID="{8DA4A4D0-1ABF-4CA7-A492-C434CFB3DA02}" presName="hierChild4" presStyleCnt="0"/>
      <dgm:spPr/>
    </dgm:pt>
    <dgm:pt modelId="{E10E7AA4-DC08-4F1C-8CF6-1839631C0F88}" type="pres">
      <dgm:prSet presAssocID="{8DA4A4D0-1ABF-4CA7-A492-C434CFB3DA02}" presName="hierChild5" presStyleCnt="0"/>
      <dgm:spPr/>
    </dgm:pt>
    <dgm:pt modelId="{249D029D-2B8C-4DDB-83DF-835BA5C40A6A}" type="pres">
      <dgm:prSet presAssocID="{25777104-3CE9-491A-9012-6FE04D7CBF67}" presName="Name64" presStyleLbl="parChTrans1D2" presStyleIdx="2" presStyleCnt="9"/>
      <dgm:spPr/>
    </dgm:pt>
    <dgm:pt modelId="{4808CA87-ADC6-41A8-B875-074FCE271EB2}" type="pres">
      <dgm:prSet presAssocID="{C3BE351D-70AD-473D-B986-269022F3B594}" presName="hierRoot2" presStyleCnt="0">
        <dgm:presLayoutVars>
          <dgm:hierBranch val="init"/>
        </dgm:presLayoutVars>
      </dgm:prSet>
      <dgm:spPr/>
    </dgm:pt>
    <dgm:pt modelId="{B6EC5619-408B-469F-A5FD-C2427846EC3C}" type="pres">
      <dgm:prSet presAssocID="{C3BE351D-70AD-473D-B986-269022F3B594}" presName="rootComposite" presStyleCnt="0"/>
      <dgm:spPr/>
    </dgm:pt>
    <dgm:pt modelId="{6B9869F3-B770-4D08-905E-78678C298063}" type="pres">
      <dgm:prSet presAssocID="{C3BE351D-70AD-473D-B986-269022F3B594}" presName="rootText" presStyleLbl="node2" presStyleIdx="2" presStyleCnt="8">
        <dgm:presLayoutVars>
          <dgm:chPref val="3"/>
        </dgm:presLayoutVars>
      </dgm:prSet>
      <dgm:spPr/>
    </dgm:pt>
    <dgm:pt modelId="{EEC02DE2-186B-4DF1-AC97-CF9140DCB636}" type="pres">
      <dgm:prSet presAssocID="{C3BE351D-70AD-473D-B986-269022F3B594}" presName="rootConnector" presStyleLbl="node2" presStyleIdx="2" presStyleCnt="8"/>
      <dgm:spPr/>
    </dgm:pt>
    <dgm:pt modelId="{43572A8C-7581-496B-AB5E-A1648C8F7A22}" type="pres">
      <dgm:prSet presAssocID="{C3BE351D-70AD-473D-B986-269022F3B594}" presName="hierChild4" presStyleCnt="0"/>
      <dgm:spPr/>
    </dgm:pt>
    <dgm:pt modelId="{F718D3CB-242B-4A07-91E8-E7B78F8099B1}" type="pres">
      <dgm:prSet presAssocID="{C3BE351D-70AD-473D-B986-269022F3B594}" presName="hierChild5" presStyleCnt="0"/>
      <dgm:spPr/>
    </dgm:pt>
    <dgm:pt modelId="{4F85E4DC-E2FA-4DEA-A326-01E42720FDA3}" type="pres">
      <dgm:prSet presAssocID="{42EA9671-E1CA-4E39-A228-BF6DEDE6CBD6}" presName="Name64" presStyleLbl="parChTrans1D2" presStyleIdx="3" presStyleCnt="9"/>
      <dgm:spPr/>
    </dgm:pt>
    <dgm:pt modelId="{261D096C-9700-4674-A5EF-47D4B69360FE}" type="pres">
      <dgm:prSet presAssocID="{51852D51-3089-4EB5-8728-D2253EC87081}" presName="hierRoot2" presStyleCnt="0">
        <dgm:presLayoutVars>
          <dgm:hierBranch val="init"/>
        </dgm:presLayoutVars>
      </dgm:prSet>
      <dgm:spPr/>
    </dgm:pt>
    <dgm:pt modelId="{BE32B186-E6F6-448D-AAFA-F04961AB8954}" type="pres">
      <dgm:prSet presAssocID="{51852D51-3089-4EB5-8728-D2253EC87081}" presName="rootComposite" presStyleCnt="0"/>
      <dgm:spPr/>
    </dgm:pt>
    <dgm:pt modelId="{E1884DC9-36E9-421E-B304-107DF7D6263D}" type="pres">
      <dgm:prSet presAssocID="{51852D51-3089-4EB5-8728-D2253EC87081}" presName="rootText" presStyleLbl="node2" presStyleIdx="3" presStyleCnt="8">
        <dgm:presLayoutVars>
          <dgm:chPref val="3"/>
        </dgm:presLayoutVars>
      </dgm:prSet>
      <dgm:spPr/>
    </dgm:pt>
    <dgm:pt modelId="{10EAC792-DDDC-4806-8A48-3ACB1552D762}" type="pres">
      <dgm:prSet presAssocID="{51852D51-3089-4EB5-8728-D2253EC87081}" presName="rootConnector" presStyleLbl="node2" presStyleIdx="3" presStyleCnt="8"/>
      <dgm:spPr/>
    </dgm:pt>
    <dgm:pt modelId="{E5DFFF50-898A-40E6-8967-F86ACFE9BB3A}" type="pres">
      <dgm:prSet presAssocID="{51852D51-3089-4EB5-8728-D2253EC87081}" presName="hierChild4" presStyleCnt="0"/>
      <dgm:spPr/>
    </dgm:pt>
    <dgm:pt modelId="{9B66D6EA-0C90-4442-9B89-66F7197FE1E5}" type="pres">
      <dgm:prSet presAssocID="{51852D51-3089-4EB5-8728-D2253EC87081}" presName="hierChild5" presStyleCnt="0"/>
      <dgm:spPr/>
    </dgm:pt>
    <dgm:pt modelId="{611C4DF0-B5B2-406E-A887-AC788D2E9EC3}" type="pres">
      <dgm:prSet presAssocID="{8B9F7D33-3E9C-4AEF-AF3D-1DF5B28014BB}" presName="Name64" presStyleLbl="parChTrans1D2" presStyleIdx="4" presStyleCnt="9"/>
      <dgm:spPr/>
    </dgm:pt>
    <dgm:pt modelId="{975B4037-A684-4FEF-B95D-983FAD5E2549}" type="pres">
      <dgm:prSet presAssocID="{3F7B4609-1259-4CB7-938B-788C14096565}" presName="hierRoot2" presStyleCnt="0">
        <dgm:presLayoutVars>
          <dgm:hierBranch val="init"/>
        </dgm:presLayoutVars>
      </dgm:prSet>
      <dgm:spPr/>
    </dgm:pt>
    <dgm:pt modelId="{E3CA12A8-6570-4B0D-996F-3596045BB737}" type="pres">
      <dgm:prSet presAssocID="{3F7B4609-1259-4CB7-938B-788C14096565}" presName="rootComposite" presStyleCnt="0"/>
      <dgm:spPr/>
    </dgm:pt>
    <dgm:pt modelId="{C08851DF-3BA9-46A2-94F7-778C07697FF4}" type="pres">
      <dgm:prSet presAssocID="{3F7B4609-1259-4CB7-938B-788C14096565}" presName="rootText" presStyleLbl="node2" presStyleIdx="4" presStyleCnt="8">
        <dgm:presLayoutVars>
          <dgm:chPref val="3"/>
        </dgm:presLayoutVars>
      </dgm:prSet>
      <dgm:spPr/>
    </dgm:pt>
    <dgm:pt modelId="{6C036386-3F7F-45F1-BFC3-CBD168098FD8}" type="pres">
      <dgm:prSet presAssocID="{3F7B4609-1259-4CB7-938B-788C14096565}" presName="rootConnector" presStyleLbl="node2" presStyleIdx="4" presStyleCnt="8"/>
      <dgm:spPr/>
    </dgm:pt>
    <dgm:pt modelId="{186023DE-F0D6-43AF-A427-B734B6B89919}" type="pres">
      <dgm:prSet presAssocID="{3F7B4609-1259-4CB7-938B-788C14096565}" presName="hierChild4" presStyleCnt="0"/>
      <dgm:spPr/>
    </dgm:pt>
    <dgm:pt modelId="{536C06E1-F7C7-4044-8D04-E2F3FF21627E}" type="pres">
      <dgm:prSet presAssocID="{3F7B4609-1259-4CB7-938B-788C14096565}" presName="hierChild5" presStyleCnt="0"/>
      <dgm:spPr/>
    </dgm:pt>
    <dgm:pt modelId="{7976ACC0-CEC0-49E2-907A-470880C19442}" type="pres">
      <dgm:prSet presAssocID="{EB87E498-0314-4AA5-8C94-E2044F98E727}" presName="Name64" presStyleLbl="parChTrans1D2" presStyleIdx="5" presStyleCnt="9"/>
      <dgm:spPr/>
    </dgm:pt>
    <dgm:pt modelId="{F6B05847-2972-45C6-B5FB-CABC294FD2E8}" type="pres">
      <dgm:prSet presAssocID="{EEE5AD3A-2310-4252-AEBA-B59936E2C5B5}" presName="hierRoot2" presStyleCnt="0">
        <dgm:presLayoutVars>
          <dgm:hierBranch val="init"/>
        </dgm:presLayoutVars>
      </dgm:prSet>
      <dgm:spPr/>
    </dgm:pt>
    <dgm:pt modelId="{E8AC290D-5D40-40F8-B2B5-05FE0ACACD12}" type="pres">
      <dgm:prSet presAssocID="{EEE5AD3A-2310-4252-AEBA-B59936E2C5B5}" presName="rootComposite" presStyleCnt="0"/>
      <dgm:spPr/>
    </dgm:pt>
    <dgm:pt modelId="{E7CF0F8C-0A35-4DA6-A77D-7E374D90D13D}" type="pres">
      <dgm:prSet presAssocID="{EEE5AD3A-2310-4252-AEBA-B59936E2C5B5}" presName="rootText" presStyleLbl="node2" presStyleIdx="5" presStyleCnt="8">
        <dgm:presLayoutVars>
          <dgm:chPref val="3"/>
        </dgm:presLayoutVars>
      </dgm:prSet>
      <dgm:spPr/>
    </dgm:pt>
    <dgm:pt modelId="{944A8212-FE66-4168-95BF-20C129F98BF1}" type="pres">
      <dgm:prSet presAssocID="{EEE5AD3A-2310-4252-AEBA-B59936E2C5B5}" presName="rootConnector" presStyleLbl="node2" presStyleIdx="5" presStyleCnt="8"/>
      <dgm:spPr/>
    </dgm:pt>
    <dgm:pt modelId="{6491D127-C3B6-462A-8C4C-2D519B184CD9}" type="pres">
      <dgm:prSet presAssocID="{EEE5AD3A-2310-4252-AEBA-B59936E2C5B5}" presName="hierChild4" presStyleCnt="0"/>
      <dgm:spPr/>
    </dgm:pt>
    <dgm:pt modelId="{BE4FFFC5-2F1D-4B8C-B9D6-066ABDF330D8}" type="pres">
      <dgm:prSet presAssocID="{EEE5AD3A-2310-4252-AEBA-B59936E2C5B5}" presName="hierChild5" presStyleCnt="0"/>
      <dgm:spPr/>
    </dgm:pt>
    <dgm:pt modelId="{54BDAE33-247E-4EB1-8487-A5B8BE627475}" type="pres">
      <dgm:prSet presAssocID="{1D89EC40-89B9-46DC-97B6-864B2A83134D}" presName="Name64" presStyleLbl="parChTrans1D2" presStyleIdx="6" presStyleCnt="9"/>
      <dgm:spPr/>
    </dgm:pt>
    <dgm:pt modelId="{5279AE84-6AD6-47AA-BE5D-D2951018EF6D}" type="pres">
      <dgm:prSet presAssocID="{DA7BE96B-4CC3-4B95-8054-5DC8F396356E}" presName="hierRoot2" presStyleCnt="0">
        <dgm:presLayoutVars>
          <dgm:hierBranch val="init"/>
        </dgm:presLayoutVars>
      </dgm:prSet>
      <dgm:spPr/>
    </dgm:pt>
    <dgm:pt modelId="{EFE36ECF-E315-4C1B-8903-DDDCF28B72D7}" type="pres">
      <dgm:prSet presAssocID="{DA7BE96B-4CC3-4B95-8054-5DC8F396356E}" presName="rootComposite" presStyleCnt="0"/>
      <dgm:spPr/>
    </dgm:pt>
    <dgm:pt modelId="{56D68AD8-6B40-4B77-B422-CC424FDABA04}" type="pres">
      <dgm:prSet presAssocID="{DA7BE96B-4CC3-4B95-8054-5DC8F396356E}" presName="rootText" presStyleLbl="node2" presStyleIdx="6" presStyleCnt="8">
        <dgm:presLayoutVars>
          <dgm:chPref val="3"/>
        </dgm:presLayoutVars>
      </dgm:prSet>
      <dgm:spPr/>
    </dgm:pt>
    <dgm:pt modelId="{28638965-7EAA-485B-B545-C3E36369E60F}" type="pres">
      <dgm:prSet presAssocID="{DA7BE96B-4CC3-4B95-8054-5DC8F396356E}" presName="rootConnector" presStyleLbl="node2" presStyleIdx="6" presStyleCnt="8"/>
      <dgm:spPr/>
    </dgm:pt>
    <dgm:pt modelId="{B444D1A2-0557-4DB6-B6C3-E5004BE8806F}" type="pres">
      <dgm:prSet presAssocID="{DA7BE96B-4CC3-4B95-8054-5DC8F396356E}" presName="hierChild4" presStyleCnt="0"/>
      <dgm:spPr/>
    </dgm:pt>
    <dgm:pt modelId="{E790EF85-CB39-4B8E-B646-4CC029A7D3D8}" type="pres">
      <dgm:prSet presAssocID="{DA7BE96B-4CC3-4B95-8054-5DC8F396356E}" presName="hierChild5" presStyleCnt="0"/>
      <dgm:spPr/>
    </dgm:pt>
    <dgm:pt modelId="{2A936D30-F755-4A1A-B596-00A12B54ADD6}" type="pres">
      <dgm:prSet presAssocID="{8C411D13-472B-4538-A101-4233DF60E04F}" presName="Name64" presStyleLbl="parChTrans1D2" presStyleIdx="7" presStyleCnt="9"/>
      <dgm:spPr/>
    </dgm:pt>
    <dgm:pt modelId="{5607FAFD-8FA3-4C06-BA75-4BDDB84AAA46}" type="pres">
      <dgm:prSet presAssocID="{C2F9876D-DC07-4A7D-A187-712E71CADEFE}" presName="hierRoot2" presStyleCnt="0">
        <dgm:presLayoutVars>
          <dgm:hierBranch val="init"/>
        </dgm:presLayoutVars>
      </dgm:prSet>
      <dgm:spPr/>
    </dgm:pt>
    <dgm:pt modelId="{A4ED802F-42C5-4AE6-BA2F-2DCC50877EBD}" type="pres">
      <dgm:prSet presAssocID="{C2F9876D-DC07-4A7D-A187-712E71CADEFE}" presName="rootComposite" presStyleCnt="0"/>
      <dgm:spPr/>
    </dgm:pt>
    <dgm:pt modelId="{F15FE673-5228-4E50-B743-896407AEEFB1}" type="pres">
      <dgm:prSet presAssocID="{C2F9876D-DC07-4A7D-A187-712E71CADEFE}" presName="rootText" presStyleLbl="node2" presStyleIdx="7" presStyleCnt="8">
        <dgm:presLayoutVars>
          <dgm:chPref val="3"/>
        </dgm:presLayoutVars>
      </dgm:prSet>
      <dgm:spPr/>
    </dgm:pt>
    <dgm:pt modelId="{7CD5152A-D5BB-4347-8F52-8178374A7E0E}" type="pres">
      <dgm:prSet presAssocID="{C2F9876D-DC07-4A7D-A187-712E71CADEFE}" presName="rootConnector" presStyleLbl="node2" presStyleIdx="7" presStyleCnt="8"/>
      <dgm:spPr/>
    </dgm:pt>
    <dgm:pt modelId="{ABE94C37-5928-4B21-B736-3C92F7F35772}" type="pres">
      <dgm:prSet presAssocID="{C2F9876D-DC07-4A7D-A187-712E71CADEFE}" presName="hierChild4" presStyleCnt="0"/>
      <dgm:spPr/>
    </dgm:pt>
    <dgm:pt modelId="{C67E4B01-5F30-4DC3-99A8-F603535E2F56}" type="pres">
      <dgm:prSet presAssocID="{C2F9876D-DC07-4A7D-A187-712E71CADEFE}" presName="hierChild5" presStyleCnt="0"/>
      <dgm:spPr/>
    </dgm:pt>
    <dgm:pt modelId="{7DF92E53-AE7F-457B-A5CA-2F2D72A21ED4}" type="pres">
      <dgm:prSet presAssocID="{0150FC75-916E-4CBF-BC0C-4417E4F44A5A}" presName="hierChild3" presStyleCnt="0"/>
      <dgm:spPr/>
    </dgm:pt>
    <dgm:pt modelId="{17CB23AD-AAA5-4011-838A-65DF3A227282}" type="pres">
      <dgm:prSet presAssocID="{5B9EC400-681E-4815-9FF6-BD9E56977BBB}" presName="Name115" presStyleLbl="parChTrans1D2" presStyleIdx="8" presStyleCnt="9"/>
      <dgm:spPr/>
    </dgm:pt>
    <dgm:pt modelId="{15CF57DA-B34A-4502-9D84-A45F6B3E4C02}" type="pres">
      <dgm:prSet presAssocID="{50AE9901-FAA4-4C01-A658-00AEDBE0BF9C}" presName="hierRoot3" presStyleCnt="0">
        <dgm:presLayoutVars>
          <dgm:hierBranch val="init"/>
        </dgm:presLayoutVars>
      </dgm:prSet>
      <dgm:spPr/>
    </dgm:pt>
    <dgm:pt modelId="{2D55A455-5F04-4A97-96D5-08C7C5F22CDA}" type="pres">
      <dgm:prSet presAssocID="{50AE9901-FAA4-4C01-A658-00AEDBE0BF9C}" presName="rootComposite3" presStyleCnt="0"/>
      <dgm:spPr/>
    </dgm:pt>
    <dgm:pt modelId="{016F7D5E-4044-47E0-8AF2-502E18326DD6}" type="pres">
      <dgm:prSet presAssocID="{50AE9901-FAA4-4C01-A658-00AEDBE0BF9C}" presName="rootText3" presStyleLbl="asst1" presStyleIdx="0" presStyleCnt="1">
        <dgm:presLayoutVars>
          <dgm:chPref val="3"/>
        </dgm:presLayoutVars>
      </dgm:prSet>
      <dgm:spPr/>
    </dgm:pt>
    <dgm:pt modelId="{3B65D69B-A1F6-4565-BC0E-6FE79FE4069A}" type="pres">
      <dgm:prSet presAssocID="{50AE9901-FAA4-4C01-A658-00AEDBE0BF9C}" presName="rootConnector3" presStyleLbl="asst1" presStyleIdx="0" presStyleCnt="1"/>
      <dgm:spPr/>
    </dgm:pt>
    <dgm:pt modelId="{B8AE4984-A9A2-481D-A4E1-A329323DC26A}" type="pres">
      <dgm:prSet presAssocID="{50AE9901-FAA4-4C01-A658-00AEDBE0BF9C}" presName="hierChild6" presStyleCnt="0"/>
      <dgm:spPr/>
    </dgm:pt>
    <dgm:pt modelId="{74C3ACCA-8C32-47BF-921F-BC24BB393013}" type="pres">
      <dgm:prSet presAssocID="{50AE9901-FAA4-4C01-A658-00AEDBE0BF9C}" presName="hierChild7" presStyleCnt="0"/>
      <dgm:spPr/>
    </dgm:pt>
  </dgm:ptLst>
  <dgm:cxnLst>
    <dgm:cxn modelId="{C8499B02-478F-4395-A4F2-1ABB2DFBBE63}" type="presOf" srcId="{C2F9876D-DC07-4A7D-A187-712E71CADEFE}" destId="{7CD5152A-D5BB-4347-8F52-8178374A7E0E}" srcOrd="1" destOrd="0" presId="urn:microsoft.com/office/officeart/2009/3/layout/HorizontalOrganizationChart"/>
    <dgm:cxn modelId="{DDB94C04-DB2E-4A7F-A186-E7DADA9DCD8A}" type="presOf" srcId="{50AE9901-FAA4-4C01-A658-00AEDBE0BF9C}" destId="{3B65D69B-A1F6-4565-BC0E-6FE79FE4069A}" srcOrd="1" destOrd="0" presId="urn:microsoft.com/office/officeart/2009/3/layout/HorizontalOrganizationChart"/>
    <dgm:cxn modelId="{C6B47104-9830-4FA1-B33C-0F24A019D00B}" type="presOf" srcId="{8DA4A4D0-1ABF-4CA7-A492-C434CFB3DA02}" destId="{CA450C1C-C0D5-457E-89E1-2885B050C527}" srcOrd="1" destOrd="0" presId="urn:microsoft.com/office/officeart/2009/3/layout/HorizontalOrganizationChart"/>
    <dgm:cxn modelId="{DA3CD70C-4542-49E7-B453-378D52B20791}" srcId="{0150FC75-916E-4CBF-BC0C-4417E4F44A5A}" destId="{C2F9876D-DC07-4A7D-A187-712E71CADEFE}" srcOrd="8" destOrd="0" parTransId="{8C411D13-472B-4538-A101-4233DF60E04F}" sibTransId="{7C954110-E157-4C39-8978-DA2F236034D4}"/>
    <dgm:cxn modelId="{ADBEB40F-E2B6-4826-B275-5EB8BDC52FA3}" type="presOf" srcId="{00207057-996B-4900-A68E-5BD89617D221}" destId="{82BFA320-4210-4D2E-926F-B5374CC3153A}" srcOrd="0" destOrd="0" presId="urn:microsoft.com/office/officeart/2009/3/layout/HorizontalOrganizationChart"/>
    <dgm:cxn modelId="{EA980611-1AC2-4F9A-8C07-5F026C2A390B}" type="presOf" srcId="{EB87E498-0314-4AA5-8C94-E2044F98E727}" destId="{7976ACC0-CEC0-49E2-907A-470880C19442}" srcOrd="0" destOrd="0" presId="urn:microsoft.com/office/officeart/2009/3/layout/HorizontalOrganizationChart"/>
    <dgm:cxn modelId="{6D444220-9E57-4531-9B68-C42ABDF5C21E}" type="presOf" srcId="{DA7BE96B-4CC3-4B95-8054-5DC8F396356E}" destId="{28638965-7EAA-485B-B545-C3E36369E60F}" srcOrd="1" destOrd="0" presId="urn:microsoft.com/office/officeart/2009/3/layout/HorizontalOrganizationChart"/>
    <dgm:cxn modelId="{1A1E3528-0CF8-49BB-88A0-30337E8A6CD6}" srcId="{0150FC75-916E-4CBF-BC0C-4417E4F44A5A}" destId="{EEE5AD3A-2310-4252-AEBA-B59936E2C5B5}" srcOrd="6" destOrd="0" parTransId="{EB87E498-0314-4AA5-8C94-E2044F98E727}" sibTransId="{AE5974DD-9F0A-4F5F-A407-6CF055949BF8}"/>
    <dgm:cxn modelId="{2DA9612A-515F-4FA5-9604-2B33D6952B4D}" type="presOf" srcId="{C3BE351D-70AD-473D-B986-269022F3B594}" destId="{6B9869F3-B770-4D08-905E-78678C298063}" srcOrd="0" destOrd="0" presId="urn:microsoft.com/office/officeart/2009/3/layout/HorizontalOrganizationChart"/>
    <dgm:cxn modelId="{D35CE937-4569-4B11-AC44-C57D542398EC}" type="presOf" srcId="{0150FC75-916E-4CBF-BC0C-4417E4F44A5A}" destId="{AC0D94B6-78FD-49A4-B914-B00C9AC18057}" srcOrd="0" destOrd="0" presId="urn:microsoft.com/office/officeart/2009/3/layout/HorizontalOrganizationChart"/>
    <dgm:cxn modelId="{BB88A739-B66D-4DB2-9152-A7814F2DB87F}" type="presOf" srcId="{3F7B4609-1259-4CB7-938B-788C14096565}" destId="{C08851DF-3BA9-46A2-94F7-778C07697FF4}" srcOrd="0" destOrd="0" presId="urn:microsoft.com/office/officeart/2009/3/layout/HorizontalOrganizationChart"/>
    <dgm:cxn modelId="{1A49AF3A-A961-477C-AE51-C01E10A96807}" type="presOf" srcId="{6B741484-FDAC-49C3-B49D-7437F89D1421}" destId="{44366D95-9974-464F-805E-CF4DD61BD780}" srcOrd="0" destOrd="0" presId="urn:microsoft.com/office/officeart/2009/3/layout/HorizontalOrganizationChart"/>
    <dgm:cxn modelId="{5CD2543E-4F0B-48FF-BFED-254EE3B0CC32}" type="presOf" srcId="{B5F99398-FFC3-41F6-A73B-406CE7341DA6}" destId="{D195A68C-BF3E-4FDC-B71D-5F013C75EA2C}" srcOrd="0" destOrd="0" presId="urn:microsoft.com/office/officeart/2009/3/layout/HorizontalOrganizationChart"/>
    <dgm:cxn modelId="{40D28141-65F9-4762-BFFA-76086771797A}" type="presOf" srcId="{25777104-3CE9-491A-9012-6FE04D7CBF67}" destId="{249D029D-2B8C-4DDB-83DF-835BA5C40A6A}" srcOrd="0" destOrd="0" presId="urn:microsoft.com/office/officeart/2009/3/layout/HorizontalOrganizationChart"/>
    <dgm:cxn modelId="{8FDD0262-855A-4DEA-90E4-853F9E597123}" srcId="{0150FC75-916E-4CBF-BC0C-4417E4F44A5A}" destId="{50AE9901-FAA4-4C01-A658-00AEDBE0BF9C}" srcOrd="0" destOrd="0" parTransId="{5B9EC400-681E-4815-9FF6-BD9E56977BBB}" sibTransId="{C4F98EA2-6F82-48F7-BC9B-C54B6F836865}"/>
    <dgm:cxn modelId="{A9F94266-6169-4929-A0DE-E5B900F4B812}" type="presOf" srcId="{5B9EC400-681E-4815-9FF6-BD9E56977BBB}" destId="{17CB23AD-AAA5-4011-838A-65DF3A227282}" srcOrd="0" destOrd="0" presId="urn:microsoft.com/office/officeart/2009/3/layout/HorizontalOrganizationChart"/>
    <dgm:cxn modelId="{EB7F9A46-9BB5-4066-B147-73FF53888212}" srcId="{0150FC75-916E-4CBF-BC0C-4417E4F44A5A}" destId="{8DA4A4D0-1ABF-4CA7-A492-C434CFB3DA02}" srcOrd="2" destOrd="0" parTransId="{B5F99398-FFC3-41F6-A73B-406CE7341DA6}" sibTransId="{C279D643-C343-4596-AEE0-DDD2F830F0F3}"/>
    <dgm:cxn modelId="{3E1BB966-27BB-4493-8ABC-EB20CADAAD8E}" type="presOf" srcId="{EEE5AD3A-2310-4252-AEBA-B59936E2C5B5}" destId="{944A8212-FE66-4168-95BF-20C129F98BF1}" srcOrd="1" destOrd="0" presId="urn:microsoft.com/office/officeart/2009/3/layout/HorizontalOrganizationChart"/>
    <dgm:cxn modelId="{CD57F06D-7127-4F5D-BED8-70427174B207}" type="presOf" srcId="{50AE9901-FAA4-4C01-A658-00AEDBE0BF9C}" destId="{016F7D5E-4044-47E0-8AF2-502E18326DD6}" srcOrd="0" destOrd="0" presId="urn:microsoft.com/office/officeart/2009/3/layout/HorizontalOrganizationChart"/>
    <dgm:cxn modelId="{49A90F74-A6E8-43BF-8D5C-63005D369D6B}" type="presOf" srcId="{8C411D13-472B-4538-A101-4233DF60E04F}" destId="{2A936D30-F755-4A1A-B596-00A12B54ADD6}" srcOrd="0" destOrd="0" presId="urn:microsoft.com/office/officeart/2009/3/layout/HorizontalOrganizationChart"/>
    <dgm:cxn modelId="{2AD50B57-682D-44A4-A76A-683E54E8D7B0}" type="presOf" srcId="{C3BE351D-70AD-473D-B986-269022F3B594}" destId="{EEC02DE2-186B-4DF1-AC97-CF9140DCB636}" srcOrd="1" destOrd="0" presId="urn:microsoft.com/office/officeart/2009/3/layout/HorizontalOrganizationChart"/>
    <dgm:cxn modelId="{C573618B-FD28-4D9D-AB2B-BFD23A859277}" type="presOf" srcId="{8DA4A4D0-1ABF-4CA7-A492-C434CFB3DA02}" destId="{3E20C04A-75F6-4324-982E-12484631C914}" srcOrd="0" destOrd="0" presId="urn:microsoft.com/office/officeart/2009/3/layout/HorizontalOrganizationChart"/>
    <dgm:cxn modelId="{5B431192-35C8-49CC-B5D0-0ED469D01DEA}" type="presOf" srcId="{C2F9876D-DC07-4A7D-A187-712E71CADEFE}" destId="{F15FE673-5228-4E50-B743-896407AEEFB1}" srcOrd="0" destOrd="0" presId="urn:microsoft.com/office/officeart/2009/3/layout/HorizontalOrganizationChart"/>
    <dgm:cxn modelId="{A2B2F297-40F3-40B7-BA5A-C26AD829DB5D}" type="presOf" srcId="{EEE5AD3A-2310-4252-AEBA-B59936E2C5B5}" destId="{E7CF0F8C-0A35-4DA6-A77D-7E374D90D13D}" srcOrd="0" destOrd="0" presId="urn:microsoft.com/office/officeart/2009/3/layout/HorizontalOrganizationChart"/>
    <dgm:cxn modelId="{B3F0379E-2F79-49DC-B55B-E5FF565B22CA}" srcId="{0150FC75-916E-4CBF-BC0C-4417E4F44A5A}" destId="{11D12E2C-6395-4F2D-AF2A-73444B53736B}" srcOrd="1" destOrd="0" parTransId="{00207057-996B-4900-A68E-5BD89617D221}" sibTransId="{9C183944-0E06-4854-970C-164B72C5E77D}"/>
    <dgm:cxn modelId="{8EA78BAB-3714-48B9-BC03-5EECD8801B7A}" type="presOf" srcId="{8B9F7D33-3E9C-4AEF-AF3D-1DF5B28014BB}" destId="{611C4DF0-B5B2-406E-A887-AC788D2E9EC3}" srcOrd="0" destOrd="0" presId="urn:microsoft.com/office/officeart/2009/3/layout/HorizontalOrganizationChart"/>
    <dgm:cxn modelId="{3455FBAD-6536-4B14-97A2-297B6B3C8A9B}" srcId="{0150FC75-916E-4CBF-BC0C-4417E4F44A5A}" destId="{DA7BE96B-4CC3-4B95-8054-5DC8F396356E}" srcOrd="7" destOrd="0" parTransId="{1D89EC40-89B9-46DC-97B6-864B2A83134D}" sibTransId="{7472FFC2-18D3-4985-9E2D-E950B795FCFD}"/>
    <dgm:cxn modelId="{EB2D56BF-61EC-40F6-ACA1-6A7804B77871}" type="presOf" srcId="{DA7BE96B-4CC3-4B95-8054-5DC8F396356E}" destId="{56D68AD8-6B40-4B77-B422-CC424FDABA04}" srcOrd="0" destOrd="0" presId="urn:microsoft.com/office/officeart/2009/3/layout/HorizontalOrganizationChart"/>
    <dgm:cxn modelId="{C76B92C0-5CDB-4F74-A889-8C6613C697EF}" srcId="{0150FC75-916E-4CBF-BC0C-4417E4F44A5A}" destId="{C3BE351D-70AD-473D-B986-269022F3B594}" srcOrd="3" destOrd="0" parTransId="{25777104-3CE9-491A-9012-6FE04D7CBF67}" sibTransId="{293E36B9-57F7-41F0-902C-6A316123B241}"/>
    <dgm:cxn modelId="{B0C15FC4-4BE9-40FE-8A16-715480711178}" type="presOf" srcId="{51852D51-3089-4EB5-8728-D2253EC87081}" destId="{E1884DC9-36E9-421E-B304-107DF7D6263D}" srcOrd="0" destOrd="0" presId="urn:microsoft.com/office/officeart/2009/3/layout/HorizontalOrganizationChart"/>
    <dgm:cxn modelId="{571207C8-68AA-454B-8001-985DF9116ECF}" srcId="{6B741484-FDAC-49C3-B49D-7437F89D1421}" destId="{0150FC75-916E-4CBF-BC0C-4417E4F44A5A}" srcOrd="0" destOrd="0" parTransId="{94C52706-E144-4055-8446-76899D89F5E7}" sibTransId="{1E865523-D30F-43DF-AB1F-F66A328BDDE0}"/>
    <dgm:cxn modelId="{CC1EF0C9-D130-4F26-8FA2-8961D253FA43}" type="presOf" srcId="{3F7B4609-1259-4CB7-938B-788C14096565}" destId="{6C036386-3F7F-45F1-BFC3-CBD168098FD8}" srcOrd="1" destOrd="0" presId="urn:microsoft.com/office/officeart/2009/3/layout/HorizontalOrganizationChart"/>
    <dgm:cxn modelId="{EB6492D2-C62E-4413-A120-CBA00953DC40}" type="presOf" srcId="{51852D51-3089-4EB5-8728-D2253EC87081}" destId="{10EAC792-DDDC-4806-8A48-3ACB1552D762}" srcOrd="1" destOrd="0" presId="urn:microsoft.com/office/officeart/2009/3/layout/HorizontalOrganizationChart"/>
    <dgm:cxn modelId="{1C64E1DD-8190-4003-B01A-52BA981B4EFF}" type="presOf" srcId="{11D12E2C-6395-4F2D-AF2A-73444B53736B}" destId="{9BE82144-47F7-463A-B0A3-26118BC985EF}" srcOrd="1" destOrd="0" presId="urn:microsoft.com/office/officeart/2009/3/layout/HorizontalOrganizationChart"/>
    <dgm:cxn modelId="{1C7738E0-5913-4916-B8CA-87902CA0A727}" type="presOf" srcId="{42EA9671-E1CA-4E39-A228-BF6DEDE6CBD6}" destId="{4F85E4DC-E2FA-4DEA-A326-01E42720FDA3}" srcOrd="0" destOrd="0" presId="urn:microsoft.com/office/officeart/2009/3/layout/HorizontalOrganizationChart"/>
    <dgm:cxn modelId="{30E196E0-2212-4CDC-9C62-ED8D891B1D64}" type="presOf" srcId="{11D12E2C-6395-4F2D-AF2A-73444B53736B}" destId="{EBE584FD-AD8A-4179-B707-3ADE66DA534B}" srcOrd="0" destOrd="0" presId="urn:microsoft.com/office/officeart/2009/3/layout/HorizontalOrganizationChart"/>
    <dgm:cxn modelId="{F25E07E7-4D42-42E7-8DA8-676CD52689E7}" type="presOf" srcId="{0150FC75-916E-4CBF-BC0C-4417E4F44A5A}" destId="{68B66424-EB53-4FD5-B47C-B3D426CC356C}" srcOrd="1" destOrd="0" presId="urn:microsoft.com/office/officeart/2009/3/layout/HorizontalOrganizationChart"/>
    <dgm:cxn modelId="{7F95BCE8-232E-4EA8-89DE-BED1FDEC76C3}" srcId="{0150FC75-916E-4CBF-BC0C-4417E4F44A5A}" destId="{51852D51-3089-4EB5-8728-D2253EC87081}" srcOrd="4" destOrd="0" parTransId="{42EA9671-E1CA-4E39-A228-BF6DEDE6CBD6}" sibTransId="{378AE8B8-6471-4281-8BBC-E04F73D7F9B0}"/>
    <dgm:cxn modelId="{FFFE2EE9-3A01-41B2-AE3B-048CF394A61A}" type="presOf" srcId="{1D89EC40-89B9-46DC-97B6-864B2A83134D}" destId="{54BDAE33-247E-4EB1-8487-A5B8BE627475}" srcOrd="0" destOrd="0" presId="urn:microsoft.com/office/officeart/2009/3/layout/HorizontalOrganizationChart"/>
    <dgm:cxn modelId="{2F223BEA-41C0-48A3-80EE-8722A32573A8}" srcId="{0150FC75-916E-4CBF-BC0C-4417E4F44A5A}" destId="{3F7B4609-1259-4CB7-938B-788C14096565}" srcOrd="5" destOrd="0" parTransId="{8B9F7D33-3E9C-4AEF-AF3D-1DF5B28014BB}" sibTransId="{7656F832-3DA0-4609-9145-950F428EEE1B}"/>
    <dgm:cxn modelId="{EDD53268-F2A6-4198-B6F0-2DBD05D88150}" type="presParOf" srcId="{44366D95-9974-464F-805E-CF4DD61BD780}" destId="{9C2AE9E3-97FA-496C-BD68-84020977804B}" srcOrd="0" destOrd="0" presId="urn:microsoft.com/office/officeart/2009/3/layout/HorizontalOrganizationChart"/>
    <dgm:cxn modelId="{284C4CBA-C8E5-4AA5-A8D3-8063E8017E55}" type="presParOf" srcId="{9C2AE9E3-97FA-496C-BD68-84020977804B}" destId="{4F8D57E4-6F53-4521-B9D5-A0EB24F5C25A}" srcOrd="0" destOrd="0" presId="urn:microsoft.com/office/officeart/2009/3/layout/HorizontalOrganizationChart"/>
    <dgm:cxn modelId="{A81E7704-30B3-4D8C-9F3A-9289D8B4FFF8}" type="presParOf" srcId="{4F8D57E4-6F53-4521-B9D5-A0EB24F5C25A}" destId="{AC0D94B6-78FD-49A4-B914-B00C9AC18057}" srcOrd="0" destOrd="0" presId="urn:microsoft.com/office/officeart/2009/3/layout/HorizontalOrganizationChart"/>
    <dgm:cxn modelId="{0899CDFF-0FE2-45BD-A7AC-F68E96FD4F2F}" type="presParOf" srcId="{4F8D57E4-6F53-4521-B9D5-A0EB24F5C25A}" destId="{68B66424-EB53-4FD5-B47C-B3D426CC356C}" srcOrd="1" destOrd="0" presId="urn:microsoft.com/office/officeart/2009/3/layout/HorizontalOrganizationChart"/>
    <dgm:cxn modelId="{D1A311DA-1272-4D1D-B941-AFC01A6E8E55}" type="presParOf" srcId="{9C2AE9E3-97FA-496C-BD68-84020977804B}" destId="{DF9E8412-9595-44BA-9813-DC16886A8F76}" srcOrd="1" destOrd="0" presId="urn:microsoft.com/office/officeart/2009/3/layout/HorizontalOrganizationChart"/>
    <dgm:cxn modelId="{4BA71227-62E1-43C5-8E5F-1E10F8E912DB}" type="presParOf" srcId="{DF9E8412-9595-44BA-9813-DC16886A8F76}" destId="{82BFA320-4210-4D2E-926F-B5374CC3153A}" srcOrd="0" destOrd="0" presId="urn:microsoft.com/office/officeart/2009/3/layout/HorizontalOrganizationChart"/>
    <dgm:cxn modelId="{A0C6DC81-A66E-463A-AC85-92C72BA0B783}" type="presParOf" srcId="{DF9E8412-9595-44BA-9813-DC16886A8F76}" destId="{A33B5ED0-834E-4425-A737-321BEEAB279C}" srcOrd="1" destOrd="0" presId="urn:microsoft.com/office/officeart/2009/3/layout/HorizontalOrganizationChart"/>
    <dgm:cxn modelId="{7515DAA3-2364-4BE2-8C86-4FEC0AC98FF9}" type="presParOf" srcId="{A33B5ED0-834E-4425-A737-321BEEAB279C}" destId="{AAFC1A7E-386E-4019-86D5-FFB5E7D5B65B}" srcOrd="0" destOrd="0" presId="urn:microsoft.com/office/officeart/2009/3/layout/HorizontalOrganizationChart"/>
    <dgm:cxn modelId="{64F185D2-5163-4D36-A9E2-D6F40970B0EC}" type="presParOf" srcId="{AAFC1A7E-386E-4019-86D5-FFB5E7D5B65B}" destId="{EBE584FD-AD8A-4179-B707-3ADE66DA534B}" srcOrd="0" destOrd="0" presId="urn:microsoft.com/office/officeart/2009/3/layout/HorizontalOrganizationChart"/>
    <dgm:cxn modelId="{3A946B33-B286-481C-8CEB-BC5832054DF4}" type="presParOf" srcId="{AAFC1A7E-386E-4019-86D5-FFB5E7D5B65B}" destId="{9BE82144-47F7-463A-B0A3-26118BC985EF}" srcOrd="1" destOrd="0" presId="urn:microsoft.com/office/officeart/2009/3/layout/HorizontalOrganizationChart"/>
    <dgm:cxn modelId="{26FE323B-621D-4D22-8EA3-A2917F6E8BE3}" type="presParOf" srcId="{A33B5ED0-834E-4425-A737-321BEEAB279C}" destId="{187E42A2-B17C-48BA-BBB4-D00FF7BBFAED}" srcOrd="1" destOrd="0" presId="urn:microsoft.com/office/officeart/2009/3/layout/HorizontalOrganizationChart"/>
    <dgm:cxn modelId="{9D6AE12E-F938-41A1-8329-6B7A2533DC88}" type="presParOf" srcId="{A33B5ED0-834E-4425-A737-321BEEAB279C}" destId="{B0C1635A-A586-4D8D-A6D8-537A047FFEE7}" srcOrd="2" destOrd="0" presId="urn:microsoft.com/office/officeart/2009/3/layout/HorizontalOrganizationChart"/>
    <dgm:cxn modelId="{81C35507-2C77-40BE-93AA-F25D2E35FB49}" type="presParOf" srcId="{DF9E8412-9595-44BA-9813-DC16886A8F76}" destId="{D195A68C-BF3E-4FDC-B71D-5F013C75EA2C}" srcOrd="2" destOrd="0" presId="urn:microsoft.com/office/officeart/2009/3/layout/HorizontalOrganizationChart"/>
    <dgm:cxn modelId="{4D40F7D8-2F0A-497A-8061-BE39BF4E78F4}" type="presParOf" srcId="{DF9E8412-9595-44BA-9813-DC16886A8F76}" destId="{193F5C12-C7D7-4A7F-A1D9-ABC3B9E12EFF}" srcOrd="3" destOrd="0" presId="urn:microsoft.com/office/officeart/2009/3/layout/HorizontalOrganizationChart"/>
    <dgm:cxn modelId="{B5EE94BD-23D9-40FE-85F3-3A1F9D80D63A}" type="presParOf" srcId="{193F5C12-C7D7-4A7F-A1D9-ABC3B9E12EFF}" destId="{981D2FC8-E26B-43CE-A913-F6D1A205632A}" srcOrd="0" destOrd="0" presId="urn:microsoft.com/office/officeart/2009/3/layout/HorizontalOrganizationChart"/>
    <dgm:cxn modelId="{B37047F6-E518-421A-A2C4-853952260F0B}" type="presParOf" srcId="{981D2FC8-E26B-43CE-A913-F6D1A205632A}" destId="{3E20C04A-75F6-4324-982E-12484631C914}" srcOrd="0" destOrd="0" presId="urn:microsoft.com/office/officeart/2009/3/layout/HorizontalOrganizationChart"/>
    <dgm:cxn modelId="{547CBEF7-F36F-473C-8DF9-615DE4C91081}" type="presParOf" srcId="{981D2FC8-E26B-43CE-A913-F6D1A205632A}" destId="{CA450C1C-C0D5-457E-89E1-2885B050C527}" srcOrd="1" destOrd="0" presId="urn:microsoft.com/office/officeart/2009/3/layout/HorizontalOrganizationChart"/>
    <dgm:cxn modelId="{994BAEE3-DD76-46D8-8E7A-97C7B4E9E026}" type="presParOf" srcId="{193F5C12-C7D7-4A7F-A1D9-ABC3B9E12EFF}" destId="{5116CA76-9BE2-4817-B166-BB1913C81565}" srcOrd="1" destOrd="0" presId="urn:microsoft.com/office/officeart/2009/3/layout/HorizontalOrganizationChart"/>
    <dgm:cxn modelId="{C40DFB88-64E5-41AB-A3BC-288C3D275D03}" type="presParOf" srcId="{193F5C12-C7D7-4A7F-A1D9-ABC3B9E12EFF}" destId="{E10E7AA4-DC08-4F1C-8CF6-1839631C0F88}" srcOrd="2" destOrd="0" presId="urn:microsoft.com/office/officeart/2009/3/layout/HorizontalOrganizationChart"/>
    <dgm:cxn modelId="{F3133271-A465-40C7-8593-829AEFBF3688}" type="presParOf" srcId="{DF9E8412-9595-44BA-9813-DC16886A8F76}" destId="{249D029D-2B8C-4DDB-83DF-835BA5C40A6A}" srcOrd="4" destOrd="0" presId="urn:microsoft.com/office/officeart/2009/3/layout/HorizontalOrganizationChart"/>
    <dgm:cxn modelId="{50E3DFDF-1C38-4C6B-94C1-D34EF4DEE4DE}" type="presParOf" srcId="{DF9E8412-9595-44BA-9813-DC16886A8F76}" destId="{4808CA87-ADC6-41A8-B875-074FCE271EB2}" srcOrd="5" destOrd="0" presId="urn:microsoft.com/office/officeart/2009/3/layout/HorizontalOrganizationChart"/>
    <dgm:cxn modelId="{CD2C14EE-5EC3-4738-9ABE-9D65B7F6E8F5}" type="presParOf" srcId="{4808CA87-ADC6-41A8-B875-074FCE271EB2}" destId="{B6EC5619-408B-469F-A5FD-C2427846EC3C}" srcOrd="0" destOrd="0" presId="urn:microsoft.com/office/officeart/2009/3/layout/HorizontalOrganizationChart"/>
    <dgm:cxn modelId="{527AE2E2-C1C4-4796-BC84-FE2CA8D873DE}" type="presParOf" srcId="{B6EC5619-408B-469F-A5FD-C2427846EC3C}" destId="{6B9869F3-B770-4D08-905E-78678C298063}" srcOrd="0" destOrd="0" presId="urn:microsoft.com/office/officeart/2009/3/layout/HorizontalOrganizationChart"/>
    <dgm:cxn modelId="{B1925D69-A029-4D1C-B2C1-6A444EA1D771}" type="presParOf" srcId="{B6EC5619-408B-469F-A5FD-C2427846EC3C}" destId="{EEC02DE2-186B-4DF1-AC97-CF9140DCB636}" srcOrd="1" destOrd="0" presId="urn:microsoft.com/office/officeart/2009/3/layout/HorizontalOrganizationChart"/>
    <dgm:cxn modelId="{155C9677-21B5-4207-BEF9-09AE03EDB849}" type="presParOf" srcId="{4808CA87-ADC6-41A8-B875-074FCE271EB2}" destId="{43572A8C-7581-496B-AB5E-A1648C8F7A22}" srcOrd="1" destOrd="0" presId="urn:microsoft.com/office/officeart/2009/3/layout/HorizontalOrganizationChart"/>
    <dgm:cxn modelId="{A716CCA7-2569-4B94-8D1A-A9742181D3AD}" type="presParOf" srcId="{4808CA87-ADC6-41A8-B875-074FCE271EB2}" destId="{F718D3CB-242B-4A07-91E8-E7B78F8099B1}" srcOrd="2" destOrd="0" presId="urn:microsoft.com/office/officeart/2009/3/layout/HorizontalOrganizationChart"/>
    <dgm:cxn modelId="{C20EA12F-5A03-4CDD-82DC-50DFD299F462}" type="presParOf" srcId="{DF9E8412-9595-44BA-9813-DC16886A8F76}" destId="{4F85E4DC-E2FA-4DEA-A326-01E42720FDA3}" srcOrd="6" destOrd="0" presId="urn:microsoft.com/office/officeart/2009/3/layout/HorizontalOrganizationChart"/>
    <dgm:cxn modelId="{440A3079-EB02-4679-89A3-89575A6C2162}" type="presParOf" srcId="{DF9E8412-9595-44BA-9813-DC16886A8F76}" destId="{261D096C-9700-4674-A5EF-47D4B69360FE}" srcOrd="7" destOrd="0" presId="urn:microsoft.com/office/officeart/2009/3/layout/HorizontalOrganizationChart"/>
    <dgm:cxn modelId="{6734BDF0-112D-4F65-A7B6-A03E97D81D77}" type="presParOf" srcId="{261D096C-9700-4674-A5EF-47D4B69360FE}" destId="{BE32B186-E6F6-448D-AAFA-F04961AB8954}" srcOrd="0" destOrd="0" presId="urn:microsoft.com/office/officeart/2009/3/layout/HorizontalOrganizationChart"/>
    <dgm:cxn modelId="{E5A5F44A-F31A-4682-9A4C-30583055F008}" type="presParOf" srcId="{BE32B186-E6F6-448D-AAFA-F04961AB8954}" destId="{E1884DC9-36E9-421E-B304-107DF7D6263D}" srcOrd="0" destOrd="0" presId="urn:microsoft.com/office/officeart/2009/3/layout/HorizontalOrganizationChart"/>
    <dgm:cxn modelId="{A4ED8EBD-8969-4196-A148-595D1852F05A}" type="presParOf" srcId="{BE32B186-E6F6-448D-AAFA-F04961AB8954}" destId="{10EAC792-DDDC-4806-8A48-3ACB1552D762}" srcOrd="1" destOrd="0" presId="urn:microsoft.com/office/officeart/2009/3/layout/HorizontalOrganizationChart"/>
    <dgm:cxn modelId="{AB1C58C8-4648-40B1-A199-663665689679}" type="presParOf" srcId="{261D096C-9700-4674-A5EF-47D4B69360FE}" destId="{E5DFFF50-898A-40E6-8967-F86ACFE9BB3A}" srcOrd="1" destOrd="0" presId="urn:microsoft.com/office/officeart/2009/3/layout/HorizontalOrganizationChart"/>
    <dgm:cxn modelId="{2C65CC12-F1D9-4AE5-A99B-09A0E04387C3}" type="presParOf" srcId="{261D096C-9700-4674-A5EF-47D4B69360FE}" destId="{9B66D6EA-0C90-4442-9B89-66F7197FE1E5}" srcOrd="2" destOrd="0" presId="urn:microsoft.com/office/officeart/2009/3/layout/HorizontalOrganizationChart"/>
    <dgm:cxn modelId="{A6B462CA-0CB7-4416-9563-756840467F8F}" type="presParOf" srcId="{DF9E8412-9595-44BA-9813-DC16886A8F76}" destId="{611C4DF0-B5B2-406E-A887-AC788D2E9EC3}" srcOrd="8" destOrd="0" presId="urn:microsoft.com/office/officeart/2009/3/layout/HorizontalOrganizationChart"/>
    <dgm:cxn modelId="{5D1210C2-8881-4CEF-AB30-1BDE2E7FC6DA}" type="presParOf" srcId="{DF9E8412-9595-44BA-9813-DC16886A8F76}" destId="{975B4037-A684-4FEF-B95D-983FAD5E2549}" srcOrd="9" destOrd="0" presId="urn:microsoft.com/office/officeart/2009/3/layout/HorizontalOrganizationChart"/>
    <dgm:cxn modelId="{A713247D-E696-45F7-AEC6-D8BF733E32B0}" type="presParOf" srcId="{975B4037-A684-4FEF-B95D-983FAD5E2549}" destId="{E3CA12A8-6570-4B0D-996F-3596045BB737}" srcOrd="0" destOrd="0" presId="urn:microsoft.com/office/officeart/2009/3/layout/HorizontalOrganizationChart"/>
    <dgm:cxn modelId="{E0E3AFB7-FB93-42DB-9FD8-50515728596B}" type="presParOf" srcId="{E3CA12A8-6570-4B0D-996F-3596045BB737}" destId="{C08851DF-3BA9-46A2-94F7-778C07697FF4}" srcOrd="0" destOrd="0" presId="urn:microsoft.com/office/officeart/2009/3/layout/HorizontalOrganizationChart"/>
    <dgm:cxn modelId="{02635EC6-4B4F-40E5-94B8-59AFECB82C5B}" type="presParOf" srcId="{E3CA12A8-6570-4B0D-996F-3596045BB737}" destId="{6C036386-3F7F-45F1-BFC3-CBD168098FD8}" srcOrd="1" destOrd="0" presId="urn:microsoft.com/office/officeart/2009/3/layout/HorizontalOrganizationChart"/>
    <dgm:cxn modelId="{AE70ED6F-A094-4DB9-832D-55B2D4D70676}" type="presParOf" srcId="{975B4037-A684-4FEF-B95D-983FAD5E2549}" destId="{186023DE-F0D6-43AF-A427-B734B6B89919}" srcOrd="1" destOrd="0" presId="urn:microsoft.com/office/officeart/2009/3/layout/HorizontalOrganizationChart"/>
    <dgm:cxn modelId="{2ABA2CFD-810F-4DE2-B99D-869BC16F865D}" type="presParOf" srcId="{975B4037-A684-4FEF-B95D-983FAD5E2549}" destId="{536C06E1-F7C7-4044-8D04-E2F3FF21627E}" srcOrd="2" destOrd="0" presId="urn:microsoft.com/office/officeart/2009/3/layout/HorizontalOrganizationChart"/>
    <dgm:cxn modelId="{D4BC63D0-8367-4B25-B42C-CAE5C72650B3}" type="presParOf" srcId="{DF9E8412-9595-44BA-9813-DC16886A8F76}" destId="{7976ACC0-CEC0-49E2-907A-470880C19442}" srcOrd="10" destOrd="0" presId="urn:microsoft.com/office/officeart/2009/3/layout/HorizontalOrganizationChart"/>
    <dgm:cxn modelId="{1FB8D7FA-F287-4E0C-BF02-5F6505A8C0FF}" type="presParOf" srcId="{DF9E8412-9595-44BA-9813-DC16886A8F76}" destId="{F6B05847-2972-45C6-B5FB-CABC294FD2E8}" srcOrd="11" destOrd="0" presId="urn:microsoft.com/office/officeart/2009/3/layout/HorizontalOrganizationChart"/>
    <dgm:cxn modelId="{3515334B-EE39-43FF-8F26-7ECDCB853650}" type="presParOf" srcId="{F6B05847-2972-45C6-B5FB-CABC294FD2E8}" destId="{E8AC290D-5D40-40F8-B2B5-05FE0ACACD12}" srcOrd="0" destOrd="0" presId="urn:microsoft.com/office/officeart/2009/3/layout/HorizontalOrganizationChart"/>
    <dgm:cxn modelId="{D8A125D9-D56E-487B-8F1F-EE559DD9BC53}" type="presParOf" srcId="{E8AC290D-5D40-40F8-B2B5-05FE0ACACD12}" destId="{E7CF0F8C-0A35-4DA6-A77D-7E374D90D13D}" srcOrd="0" destOrd="0" presId="urn:microsoft.com/office/officeart/2009/3/layout/HorizontalOrganizationChart"/>
    <dgm:cxn modelId="{4D51E728-778A-4FA6-B7B4-F2E783166217}" type="presParOf" srcId="{E8AC290D-5D40-40F8-B2B5-05FE0ACACD12}" destId="{944A8212-FE66-4168-95BF-20C129F98BF1}" srcOrd="1" destOrd="0" presId="urn:microsoft.com/office/officeart/2009/3/layout/HorizontalOrganizationChart"/>
    <dgm:cxn modelId="{7BA83FF7-CE2A-4144-92BE-544BB04A7E43}" type="presParOf" srcId="{F6B05847-2972-45C6-B5FB-CABC294FD2E8}" destId="{6491D127-C3B6-462A-8C4C-2D519B184CD9}" srcOrd="1" destOrd="0" presId="urn:microsoft.com/office/officeart/2009/3/layout/HorizontalOrganizationChart"/>
    <dgm:cxn modelId="{74198254-B463-4820-BFD4-0ECFE174F7F9}" type="presParOf" srcId="{F6B05847-2972-45C6-B5FB-CABC294FD2E8}" destId="{BE4FFFC5-2F1D-4B8C-B9D6-066ABDF330D8}" srcOrd="2" destOrd="0" presId="urn:microsoft.com/office/officeart/2009/3/layout/HorizontalOrganizationChart"/>
    <dgm:cxn modelId="{2B1F0315-182B-4BE2-BCAC-6E1A79BE7874}" type="presParOf" srcId="{DF9E8412-9595-44BA-9813-DC16886A8F76}" destId="{54BDAE33-247E-4EB1-8487-A5B8BE627475}" srcOrd="12" destOrd="0" presId="urn:microsoft.com/office/officeart/2009/3/layout/HorizontalOrganizationChart"/>
    <dgm:cxn modelId="{EC6E3D09-7D59-4C6B-8034-9EAC3C37A493}" type="presParOf" srcId="{DF9E8412-9595-44BA-9813-DC16886A8F76}" destId="{5279AE84-6AD6-47AA-BE5D-D2951018EF6D}" srcOrd="13" destOrd="0" presId="urn:microsoft.com/office/officeart/2009/3/layout/HorizontalOrganizationChart"/>
    <dgm:cxn modelId="{71C1FD2E-B7BA-4B90-ABA5-3B4621190954}" type="presParOf" srcId="{5279AE84-6AD6-47AA-BE5D-D2951018EF6D}" destId="{EFE36ECF-E315-4C1B-8903-DDDCF28B72D7}" srcOrd="0" destOrd="0" presId="urn:microsoft.com/office/officeart/2009/3/layout/HorizontalOrganizationChart"/>
    <dgm:cxn modelId="{B560E187-B375-4FD0-B721-C5758B6A2807}" type="presParOf" srcId="{EFE36ECF-E315-4C1B-8903-DDDCF28B72D7}" destId="{56D68AD8-6B40-4B77-B422-CC424FDABA04}" srcOrd="0" destOrd="0" presId="urn:microsoft.com/office/officeart/2009/3/layout/HorizontalOrganizationChart"/>
    <dgm:cxn modelId="{85973E12-8CDB-4971-9005-4E382384AE5C}" type="presParOf" srcId="{EFE36ECF-E315-4C1B-8903-DDDCF28B72D7}" destId="{28638965-7EAA-485B-B545-C3E36369E60F}" srcOrd="1" destOrd="0" presId="urn:microsoft.com/office/officeart/2009/3/layout/HorizontalOrganizationChart"/>
    <dgm:cxn modelId="{D11926B3-F3A4-492C-9F9A-08F7C345D890}" type="presParOf" srcId="{5279AE84-6AD6-47AA-BE5D-D2951018EF6D}" destId="{B444D1A2-0557-4DB6-B6C3-E5004BE8806F}" srcOrd="1" destOrd="0" presId="urn:microsoft.com/office/officeart/2009/3/layout/HorizontalOrganizationChart"/>
    <dgm:cxn modelId="{9BFE3CA9-D6F7-4084-B988-EA6D0C747AEA}" type="presParOf" srcId="{5279AE84-6AD6-47AA-BE5D-D2951018EF6D}" destId="{E790EF85-CB39-4B8E-B646-4CC029A7D3D8}" srcOrd="2" destOrd="0" presId="urn:microsoft.com/office/officeart/2009/3/layout/HorizontalOrganizationChart"/>
    <dgm:cxn modelId="{CD35345B-1BF6-47FB-8D01-CE56866C91BA}" type="presParOf" srcId="{DF9E8412-9595-44BA-9813-DC16886A8F76}" destId="{2A936D30-F755-4A1A-B596-00A12B54ADD6}" srcOrd="14" destOrd="0" presId="urn:microsoft.com/office/officeart/2009/3/layout/HorizontalOrganizationChart"/>
    <dgm:cxn modelId="{D1EFC004-C9AA-47CB-89BD-4C0787435A0E}" type="presParOf" srcId="{DF9E8412-9595-44BA-9813-DC16886A8F76}" destId="{5607FAFD-8FA3-4C06-BA75-4BDDB84AAA46}" srcOrd="15" destOrd="0" presId="urn:microsoft.com/office/officeart/2009/3/layout/HorizontalOrganizationChart"/>
    <dgm:cxn modelId="{FF087C6D-6349-4A5C-A168-2F8FC66EAED5}" type="presParOf" srcId="{5607FAFD-8FA3-4C06-BA75-4BDDB84AAA46}" destId="{A4ED802F-42C5-4AE6-BA2F-2DCC50877EBD}" srcOrd="0" destOrd="0" presId="urn:microsoft.com/office/officeart/2009/3/layout/HorizontalOrganizationChart"/>
    <dgm:cxn modelId="{61A9CB2B-6038-4FCF-8171-3376241F04DF}" type="presParOf" srcId="{A4ED802F-42C5-4AE6-BA2F-2DCC50877EBD}" destId="{F15FE673-5228-4E50-B743-896407AEEFB1}" srcOrd="0" destOrd="0" presId="urn:microsoft.com/office/officeart/2009/3/layout/HorizontalOrganizationChart"/>
    <dgm:cxn modelId="{17A15210-BB56-4335-AA4A-AEFBEDF90A5B}" type="presParOf" srcId="{A4ED802F-42C5-4AE6-BA2F-2DCC50877EBD}" destId="{7CD5152A-D5BB-4347-8F52-8178374A7E0E}" srcOrd="1" destOrd="0" presId="urn:microsoft.com/office/officeart/2009/3/layout/HorizontalOrganizationChart"/>
    <dgm:cxn modelId="{18B6A945-49BF-484C-8BD3-568A3964A9C4}" type="presParOf" srcId="{5607FAFD-8FA3-4C06-BA75-4BDDB84AAA46}" destId="{ABE94C37-5928-4B21-B736-3C92F7F35772}" srcOrd="1" destOrd="0" presId="urn:microsoft.com/office/officeart/2009/3/layout/HorizontalOrganizationChart"/>
    <dgm:cxn modelId="{8B23F2CA-EF6F-44F5-8818-C7E879C3B58F}" type="presParOf" srcId="{5607FAFD-8FA3-4C06-BA75-4BDDB84AAA46}" destId="{C67E4B01-5F30-4DC3-99A8-F603535E2F56}" srcOrd="2" destOrd="0" presId="urn:microsoft.com/office/officeart/2009/3/layout/HorizontalOrganizationChart"/>
    <dgm:cxn modelId="{55C15DDA-CB68-44BE-BDCF-E1A1F6CD10D5}" type="presParOf" srcId="{9C2AE9E3-97FA-496C-BD68-84020977804B}" destId="{7DF92E53-AE7F-457B-A5CA-2F2D72A21ED4}" srcOrd="2" destOrd="0" presId="urn:microsoft.com/office/officeart/2009/3/layout/HorizontalOrganizationChart"/>
    <dgm:cxn modelId="{05C5B07F-41E5-4701-BCC1-F1B5E12C85E7}" type="presParOf" srcId="{7DF92E53-AE7F-457B-A5CA-2F2D72A21ED4}" destId="{17CB23AD-AAA5-4011-838A-65DF3A227282}" srcOrd="0" destOrd="0" presId="urn:microsoft.com/office/officeart/2009/3/layout/HorizontalOrganizationChart"/>
    <dgm:cxn modelId="{340E6594-8BDF-4925-9F48-8F447FA36CEA}" type="presParOf" srcId="{7DF92E53-AE7F-457B-A5CA-2F2D72A21ED4}" destId="{15CF57DA-B34A-4502-9D84-A45F6B3E4C02}" srcOrd="1" destOrd="0" presId="urn:microsoft.com/office/officeart/2009/3/layout/HorizontalOrganizationChart"/>
    <dgm:cxn modelId="{A78C7BEB-EEC0-419B-B1E9-4E575C32F838}" type="presParOf" srcId="{15CF57DA-B34A-4502-9D84-A45F6B3E4C02}" destId="{2D55A455-5F04-4A97-96D5-08C7C5F22CDA}" srcOrd="0" destOrd="0" presId="urn:microsoft.com/office/officeart/2009/3/layout/HorizontalOrganizationChart"/>
    <dgm:cxn modelId="{FC56068D-77C4-4EEE-9D11-2EF9120372BB}" type="presParOf" srcId="{2D55A455-5F04-4A97-96D5-08C7C5F22CDA}" destId="{016F7D5E-4044-47E0-8AF2-502E18326DD6}" srcOrd="0" destOrd="0" presId="urn:microsoft.com/office/officeart/2009/3/layout/HorizontalOrganizationChart"/>
    <dgm:cxn modelId="{47550583-45E0-4B4B-82AF-8B62904A8C21}" type="presParOf" srcId="{2D55A455-5F04-4A97-96D5-08C7C5F22CDA}" destId="{3B65D69B-A1F6-4565-BC0E-6FE79FE4069A}" srcOrd="1" destOrd="0" presId="urn:microsoft.com/office/officeart/2009/3/layout/HorizontalOrganizationChart"/>
    <dgm:cxn modelId="{4815F793-B14B-41EA-8224-3380A88C56FE}" type="presParOf" srcId="{15CF57DA-B34A-4502-9D84-A45F6B3E4C02}" destId="{B8AE4984-A9A2-481D-A4E1-A329323DC26A}" srcOrd="1" destOrd="0" presId="urn:microsoft.com/office/officeart/2009/3/layout/HorizontalOrganizationChart"/>
    <dgm:cxn modelId="{8DAC5DB3-8E2B-4068-BA3D-6AA3E34F6106}" type="presParOf" srcId="{15CF57DA-B34A-4502-9D84-A45F6B3E4C02}" destId="{74C3ACCA-8C32-47BF-921F-BC24BB393013}"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AD7CE9-3844-403A-90F2-6BDA465C1678}"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s-CO"/>
        </a:p>
      </dgm:t>
    </dgm:pt>
    <dgm:pt modelId="{72786A50-E011-48C0-AB82-74CD5570C018}">
      <dgm:prSet phldrT="[Texto]"/>
      <dgm:spPr/>
      <dgm:t>
        <a:bodyPr/>
        <a:lstStyle/>
        <a:p>
          <a:r>
            <a:rPr lang="es-CO" b="1">
              <a:solidFill>
                <a:srgbClr val="FFFF00"/>
              </a:solidFill>
              <a:latin typeface="Arial Narrow" panose="020B0606020202030204" pitchFamily="34" charset="0"/>
            </a:rPr>
            <a:t>Primera línea de defensa</a:t>
          </a:r>
        </a:p>
      </dgm:t>
    </dgm:pt>
    <dgm:pt modelId="{ACE91D8A-9A3B-4CE9-A6D6-29827320DA6C}" type="parTrans" cxnId="{5F6679FC-7248-408A-9174-A06417FA9DAF}">
      <dgm:prSet/>
      <dgm:spPr/>
      <dgm:t>
        <a:bodyPr/>
        <a:lstStyle/>
        <a:p>
          <a:endParaRPr lang="es-CO"/>
        </a:p>
      </dgm:t>
    </dgm:pt>
    <dgm:pt modelId="{34111050-FF08-43D7-AAAB-88B043F9C001}" type="sibTrans" cxnId="{5F6679FC-7248-408A-9174-A06417FA9DAF}">
      <dgm:prSet/>
      <dgm:spPr/>
      <dgm:t>
        <a:bodyPr/>
        <a:lstStyle/>
        <a:p>
          <a:endParaRPr lang="es-CO"/>
        </a:p>
      </dgm:t>
    </dgm:pt>
    <dgm:pt modelId="{5E142380-F602-4CC5-BDCD-5D34DE2801E2}">
      <dgm:prSet phldrT="[Texto]" custT="1"/>
      <dgm:spPr/>
      <dgm:t>
        <a:bodyPr/>
        <a:lstStyle/>
        <a:p>
          <a:pPr algn="just"/>
          <a:r>
            <a:rPr lang="es-CO" sz="1000">
              <a:latin typeface="Arial Narrow" panose="020B0606020202030204" pitchFamily="34" charset="0"/>
            </a:rPr>
            <a:t>Actividades identificación de riesgos y de auto control ejecutadas por los funcionarios  de cada una de las Subdirecciones.</a:t>
          </a:r>
        </a:p>
        <a:p>
          <a:pPr algn="just"/>
          <a:r>
            <a:rPr lang="es-CO" sz="1000">
              <a:latin typeface="Arial Narrow" panose="020B0606020202030204" pitchFamily="34" charset="0"/>
            </a:rPr>
            <a:t>En cada una de las areas se define un gestor de riesgo que es el encargado de reportar a la Subdirección de Riesgo, los cambios en el riesgo operativo de cada proceso.</a:t>
          </a:r>
        </a:p>
        <a:p>
          <a:pPr algn="l"/>
          <a:endParaRPr lang="es-CO" sz="500">
            <a:latin typeface="Arial Narrow" panose="020B0606020202030204" pitchFamily="34" charset="0"/>
          </a:endParaRPr>
        </a:p>
        <a:p>
          <a:pPr algn="l"/>
          <a:r>
            <a:rPr lang="es-CO" sz="1000">
              <a:latin typeface="Arial Narrow" panose="020B0606020202030204" pitchFamily="34" charset="0"/>
            </a:rPr>
            <a:t>Gestión de riesgo preventiva</a:t>
          </a:r>
        </a:p>
      </dgm:t>
    </dgm:pt>
    <dgm:pt modelId="{80AF5A5B-BD36-4366-B6CE-9E9AB75C3432}" type="parTrans" cxnId="{DEBFEAF1-5E3E-433A-8752-452FB7301581}">
      <dgm:prSet/>
      <dgm:spPr/>
      <dgm:t>
        <a:bodyPr/>
        <a:lstStyle/>
        <a:p>
          <a:endParaRPr lang="es-CO"/>
        </a:p>
      </dgm:t>
    </dgm:pt>
    <dgm:pt modelId="{F00AD2F4-0285-47CC-B5F2-F299596040A0}" type="sibTrans" cxnId="{DEBFEAF1-5E3E-433A-8752-452FB7301581}">
      <dgm:prSet/>
      <dgm:spPr/>
      <dgm:t>
        <a:bodyPr/>
        <a:lstStyle/>
        <a:p>
          <a:endParaRPr lang="es-CO"/>
        </a:p>
      </dgm:t>
    </dgm:pt>
    <dgm:pt modelId="{2529D431-B1F8-4A74-9936-EC9687DD8B94}">
      <dgm:prSet phldrT="[Texto]"/>
      <dgm:spPr/>
      <dgm:t>
        <a:bodyPr/>
        <a:lstStyle/>
        <a:p>
          <a:r>
            <a:rPr lang="es-CO" b="1">
              <a:solidFill>
                <a:srgbClr val="FFFF00"/>
              </a:solidFill>
              <a:latin typeface="Arial Narrow" panose="020B0606020202030204" pitchFamily="34" charset="0"/>
            </a:rPr>
            <a:t>Segunda línea de defensa</a:t>
          </a:r>
        </a:p>
      </dgm:t>
    </dgm:pt>
    <dgm:pt modelId="{E9D5293B-7767-4174-8DF7-07D433134018}" type="parTrans" cxnId="{B12F22D7-D7AC-47BC-AD93-81CC9308ABB9}">
      <dgm:prSet/>
      <dgm:spPr/>
      <dgm:t>
        <a:bodyPr/>
        <a:lstStyle/>
        <a:p>
          <a:endParaRPr lang="es-CO"/>
        </a:p>
      </dgm:t>
    </dgm:pt>
    <dgm:pt modelId="{9CB2E176-1E28-482C-8A47-8C8AD43ACED0}" type="sibTrans" cxnId="{B12F22D7-D7AC-47BC-AD93-81CC9308ABB9}">
      <dgm:prSet/>
      <dgm:spPr/>
      <dgm:t>
        <a:bodyPr/>
        <a:lstStyle/>
        <a:p>
          <a:endParaRPr lang="es-CO"/>
        </a:p>
      </dgm:t>
    </dgm:pt>
    <dgm:pt modelId="{91D88072-A1E2-48FA-95A0-BEC393B3C85A}">
      <dgm:prSet phldrT="[Texto]"/>
      <dgm:spPr/>
      <dgm:t>
        <a:bodyPr/>
        <a:lstStyle/>
        <a:p>
          <a:pPr algn="just"/>
          <a:r>
            <a:rPr lang="es-CO">
              <a:latin typeface="Arial Narrow" panose="020B0606020202030204" pitchFamily="34" charset="0"/>
            </a:rPr>
            <a:t>Actividades de monitoreo.</a:t>
          </a:r>
        </a:p>
        <a:p>
          <a:pPr algn="l"/>
          <a:endParaRPr lang="es-CO">
            <a:latin typeface="Arial Narrow" panose="020B0606020202030204" pitchFamily="34" charset="0"/>
          </a:endParaRPr>
        </a:p>
        <a:p>
          <a:pPr algn="just"/>
          <a:r>
            <a:rPr lang="es-CO">
              <a:latin typeface="Arial Narrow" panose="020B0606020202030204" pitchFamily="34" charset="0"/>
            </a:rPr>
            <a:t>La Subdirección de Riesgo  realizará el monitoreo de los controles establecidos en cada uno de los procesos, mediante visitas de campo, y monitoreo de ejecución de controles midiendo  la eficiencia y eficacia de los mismos. </a:t>
          </a:r>
        </a:p>
        <a:p>
          <a:pPr algn="l"/>
          <a:endParaRPr lang="es-CO">
            <a:latin typeface="Arial Narrow" panose="020B0606020202030204" pitchFamily="34" charset="0"/>
          </a:endParaRPr>
        </a:p>
        <a:p>
          <a:pPr algn="l"/>
          <a:r>
            <a:rPr lang="es-CO">
              <a:latin typeface="Arial Narrow" panose="020B0606020202030204" pitchFamily="34" charset="0"/>
            </a:rPr>
            <a:t>Gestión de riesgo preventiva</a:t>
          </a:r>
        </a:p>
      </dgm:t>
    </dgm:pt>
    <dgm:pt modelId="{E41CA490-ECEC-40D2-A936-5C145E26A977}" type="parTrans" cxnId="{6848C390-DAE0-40BE-B27E-E824F27F1593}">
      <dgm:prSet/>
      <dgm:spPr/>
      <dgm:t>
        <a:bodyPr/>
        <a:lstStyle/>
        <a:p>
          <a:endParaRPr lang="es-CO"/>
        </a:p>
      </dgm:t>
    </dgm:pt>
    <dgm:pt modelId="{8BD2A2A2-B238-4093-83C5-E5E3D147D998}" type="sibTrans" cxnId="{6848C390-DAE0-40BE-B27E-E824F27F1593}">
      <dgm:prSet/>
      <dgm:spPr/>
      <dgm:t>
        <a:bodyPr/>
        <a:lstStyle/>
        <a:p>
          <a:endParaRPr lang="es-CO"/>
        </a:p>
      </dgm:t>
    </dgm:pt>
    <dgm:pt modelId="{C45D54F1-F5EA-4356-B7E3-A2CB061A47A0}">
      <dgm:prSet phldrT="[Texto]"/>
      <dgm:spPr/>
      <dgm:t>
        <a:bodyPr/>
        <a:lstStyle/>
        <a:p>
          <a:r>
            <a:rPr lang="es-CO" b="1">
              <a:solidFill>
                <a:srgbClr val="FFFF00"/>
              </a:solidFill>
              <a:latin typeface="Arial Narrow" panose="020B0606020202030204" pitchFamily="34" charset="0"/>
            </a:rPr>
            <a:t>Tercera línea de defensa</a:t>
          </a:r>
        </a:p>
      </dgm:t>
    </dgm:pt>
    <dgm:pt modelId="{BCBF639B-1AB5-44E0-91CD-ABD0742ED41A}" type="parTrans" cxnId="{E6FC3FB8-0D76-4FF3-90BB-4ADE794844FC}">
      <dgm:prSet/>
      <dgm:spPr/>
      <dgm:t>
        <a:bodyPr/>
        <a:lstStyle/>
        <a:p>
          <a:endParaRPr lang="es-CO"/>
        </a:p>
      </dgm:t>
    </dgm:pt>
    <dgm:pt modelId="{27AED645-49CC-42A7-A9DA-BDFC5BA54514}" type="sibTrans" cxnId="{E6FC3FB8-0D76-4FF3-90BB-4ADE794844FC}">
      <dgm:prSet/>
      <dgm:spPr/>
      <dgm:t>
        <a:bodyPr/>
        <a:lstStyle/>
        <a:p>
          <a:endParaRPr lang="es-CO"/>
        </a:p>
      </dgm:t>
    </dgm:pt>
    <dgm:pt modelId="{BB76ED62-6764-4953-9953-C65237AA18B0}">
      <dgm:prSet phldrT="[Texto]" custT="1"/>
      <dgm:spPr/>
      <dgm:t>
        <a:bodyPr/>
        <a:lstStyle/>
        <a:p>
          <a:pPr algn="just"/>
          <a:r>
            <a:rPr lang="es-CO" sz="1000">
              <a:latin typeface="Arial Narrow" panose="020B0606020202030204" pitchFamily="34" charset="0"/>
            </a:rPr>
            <a:t>Evaluaciones de auditoria interna.</a:t>
          </a:r>
        </a:p>
        <a:p>
          <a:pPr algn="just"/>
          <a:r>
            <a:rPr lang="es-CO" sz="1000">
              <a:latin typeface="Arial Narrow" panose="020B0606020202030204" pitchFamily="34" charset="0"/>
            </a:rPr>
            <a:t>el area de contraloria interna recomienda mejoras continuamente y provee una evaluación independiente.</a:t>
          </a: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900">
            <a:latin typeface="Arial Narrow" panose="020B0606020202030204" pitchFamily="34" charset="0"/>
          </a:endParaRPr>
        </a:p>
        <a:p>
          <a:pPr algn="l"/>
          <a:r>
            <a:rPr lang="es-CO" sz="1000">
              <a:latin typeface="Arial Narrow" panose="020B0606020202030204" pitchFamily="34" charset="0"/>
            </a:rPr>
            <a:t>Gestión de riesgo correctiva</a:t>
          </a:r>
        </a:p>
      </dgm:t>
    </dgm:pt>
    <dgm:pt modelId="{8F3D46EF-0D33-4590-A10A-EA70B04C6FB0}" type="parTrans" cxnId="{D489F73C-815C-4FCD-9A95-5406418EE682}">
      <dgm:prSet/>
      <dgm:spPr/>
      <dgm:t>
        <a:bodyPr/>
        <a:lstStyle/>
        <a:p>
          <a:endParaRPr lang="es-CO"/>
        </a:p>
      </dgm:t>
    </dgm:pt>
    <dgm:pt modelId="{44B7A457-CC00-478C-BA51-7B39A6989698}" type="sibTrans" cxnId="{D489F73C-815C-4FCD-9A95-5406418EE682}">
      <dgm:prSet/>
      <dgm:spPr/>
      <dgm:t>
        <a:bodyPr/>
        <a:lstStyle/>
        <a:p>
          <a:endParaRPr lang="es-CO"/>
        </a:p>
      </dgm:t>
    </dgm:pt>
    <dgm:pt modelId="{CA43DE7D-C17F-48FE-9A5D-E68EBA6CE82F}" type="pres">
      <dgm:prSet presAssocID="{44AD7CE9-3844-403A-90F2-6BDA465C1678}" presName="Name0" presStyleCnt="0">
        <dgm:presLayoutVars>
          <dgm:dir/>
          <dgm:animLvl val="lvl"/>
          <dgm:resizeHandles val="exact"/>
        </dgm:presLayoutVars>
      </dgm:prSet>
      <dgm:spPr/>
    </dgm:pt>
    <dgm:pt modelId="{BF0DA4DB-F501-4AF3-BD7D-A062E8B54822}" type="pres">
      <dgm:prSet presAssocID="{72786A50-E011-48C0-AB82-74CD5570C018}" presName="compositeNode" presStyleCnt="0">
        <dgm:presLayoutVars>
          <dgm:bulletEnabled val="1"/>
        </dgm:presLayoutVars>
      </dgm:prSet>
      <dgm:spPr/>
    </dgm:pt>
    <dgm:pt modelId="{C09F74FD-CEA5-4CE5-BDC1-F5A0C8EA4A53}" type="pres">
      <dgm:prSet presAssocID="{72786A50-E011-48C0-AB82-74CD5570C018}" presName="bgRect" presStyleLbl="node1" presStyleIdx="0" presStyleCnt="3"/>
      <dgm:spPr/>
    </dgm:pt>
    <dgm:pt modelId="{21E1C404-5EC1-497F-8773-2D815E3C07E9}" type="pres">
      <dgm:prSet presAssocID="{72786A50-E011-48C0-AB82-74CD5570C018}" presName="parentNode" presStyleLbl="node1" presStyleIdx="0" presStyleCnt="3">
        <dgm:presLayoutVars>
          <dgm:chMax val="0"/>
          <dgm:bulletEnabled val="1"/>
        </dgm:presLayoutVars>
      </dgm:prSet>
      <dgm:spPr/>
    </dgm:pt>
    <dgm:pt modelId="{E8E3AE34-8DDC-4C96-B9A3-334BB2CB7EF4}" type="pres">
      <dgm:prSet presAssocID="{72786A50-E011-48C0-AB82-74CD5570C018}" presName="childNode" presStyleLbl="node1" presStyleIdx="0" presStyleCnt="3">
        <dgm:presLayoutVars>
          <dgm:bulletEnabled val="1"/>
        </dgm:presLayoutVars>
      </dgm:prSet>
      <dgm:spPr/>
    </dgm:pt>
    <dgm:pt modelId="{072AE9F5-540E-439F-848A-F59B062AA082}" type="pres">
      <dgm:prSet presAssocID="{34111050-FF08-43D7-AAAB-88B043F9C001}" presName="hSp" presStyleCnt="0"/>
      <dgm:spPr/>
    </dgm:pt>
    <dgm:pt modelId="{A36C3D67-4374-4547-96F5-FED7BCC72B76}" type="pres">
      <dgm:prSet presAssocID="{34111050-FF08-43D7-AAAB-88B043F9C001}" presName="vProcSp" presStyleCnt="0"/>
      <dgm:spPr/>
    </dgm:pt>
    <dgm:pt modelId="{865D1F2D-1D0C-48C1-88FB-FCA7B1C022D1}" type="pres">
      <dgm:prSet presAssocID="{34111050-FF08-43D7-AAAB-88B043F9C001}" presName="vSp1" presStyleCnt="0"/>
      <dgm:spPr/>
    </dgm:pt>
    <dgm:pt modelId="{EF6A63F8-E3CD-4935-88C8-C27C757E5EB5}" type="pres">
      <dgm:prSet presAssocID="{34111050-FF08-43D7-AAAB-88B043F9C001}" presName="simulatedConn" presStyleLbl="solidFgAcc1" presStyleIdx="0" presStyleCnt="2"/>
      <dgm:spPr/>
    </dgm:pt>
    <dgm:pt modelId="{FF0A63A2-A1C5-4903-9CA0-E27BEE7DC4CC}" type="pres">
      <dgm:prSet presAssocID="{34111050-FF08-43D7-AAAB-88B043F9C001}" presName="vSp2" presStyleCnt="0"/>
      <dgm:spPr/>
    </dgm:pt>
    <dgm:pt modelId="{25A567A2-C4CC-47ED-9092-04A6E4D56641}" type="pres">
      <dgm:prSet presAssocID="{34111050-FF08-43D7-AAAB-88B043F9C001}" presName="sibTrans" presStyleCnt="0"/>
      <dgm:spPr/>
    </dgm:pt>
    <dgm:pt modelId="{EB15C078-6BB1-46FF-9D2B-98571C86FCAA}" type="pres">
      <dgm:prSet presAssocID="{2529D431-B1F8-4A74-9936-EC9687DD8B94}" presName="compositeNode" presStyleCnt="0">
        <dgm:presLayoutVars>
          <dgm:bulletEnabled val="1"/>
        </dgm:presLayoutVars>
      </dgm:prSet>
      <dgm:spPr/>
    </dgm:pt>
    <dgm:pt modelId="{61A2A803-EFAA-4AF9-969D-FD6780B297EA}" type="pres">
      <dgm:prSet presAssocID="{2529D431-B1F8-4A74-9936-EC9687DD8B94}" presName="bgRect" presStyleLbl="node1" presStyleIdx="1" presStyleCnt="3"/>
      <dgm:spPr/>
    </dgm:pt>
    <dgm:pt modelId="{525176E5-A4E6-470E-BEC6-2787EBFC1C7F}" type="pres">
      <dgm:prSet presAssocID="{2529D431-B1F8-4A74-9936-EC9687DD8B94}" presName="parentNode" presStyleLbl="node1" presStyleIdx="1" presStyleCnt="3">
        <dgm:presLayoutVars>
          <dgm:chMax val="0"/>
          <dgm:bulletEnabled val="1"/>
        </dgm:presLayoutVars>
      </dgm:prSet>
      <dgm:spPr/>
    </dgm:pt>
    <dgm:pt modelId="{B989B059-2F3B-4F1A-9B4C-39ECA36CFACD}" type="pres">
      <dgm:prSet presAssocID="{2529D431-B1F8-4A74-9936-EC9687DD8B94}" presName="childNode" presStyleLbl="node1" presStyleIdx="1" presStyleCnt="3">
        <dgm:presLayoutVars>
          <dgm:bulletEnabled val="1"/>
        </dgm:presLayoutVars>
      </dgm:prSet>
      <dgm:spPr/>
    </dgm:pt>
    <dgm:pt modelId="{ABCFE524-9378-45A0-B168-431B630A7D1E}" type="pres">
      <dgm:prSet presAssocID="{9CB2E176-1E28-482C-8A47-8C8AD43ACED0}" presName="hSp" presStyleCnt="0"/>
      <dgm:spPr/>
    </dgm:pt>
    <dgm:pt modelId="{CAC2DB95-813C-4AD0-85DF-6CDA64B58489}" type="pres">
      <dgm:prSet presAssocID="{9CB2E176-1E28-482C-8A47-8C8AD43ACED0}" presName="vProcSp" presStyleCnt="0"/>
      <dgm:spPr/>
    </dgm:pt>
    <dgm:pt modelId="{0CB6C6D4-AF7B-463E-AA20-7F4637DE58CC}" type="pres">
      <dgm:prSet presAssocID="{9CB2E176-1E28-482C-8A47-8C8AD43ACED0}" presName="vSp1" presStyleCnt="0"/>
      <dgm:spPr/>
    </dgm:pt>
    <dgm:pt modelId="{2305EE12-8A2E-48DF-BF7E-75C1F0E7B31A}" type="pres">
      <dgm:prSet presAssocID="{9CB2E176-1E28-482C-8A47-8C8AD43ACED0}" presName="simulatedConn" presStyleLbl="solidFgAcc1" presStyleIdx="1" presStyleCnt="2"/>
      <dgm:spPr/>
    </dgm:pt>
    <dgm:pt modelId="{692AD61C-4896-4257-BDE0-0D27FD14640C}" type="pres">
      <dgm:prSet presAssocID="{9CB2E176-1E28-482C-8A47-8C8AD43ACED0}" presName="vSp2" presStyleCnt="0"/>
      <dgm:spPr/>
    </dgm:pt>
    <dgm:pt modelId="{8E9621DF-9B72-4533-842E-1703D44155CC}" type="pres">
      <dgm:prSet presAssocID="{9CB2E176-1E28-482C-8A47-8C8AD43ACED0}" presName="sibTrans" presStyleCnt="0"/>
      <dgm:spPr/>
    </dgm:pt>
    <dgm:pt modelId="{35205D77-7850-4029-996A-57DD4E442113}" type="pres">
      <dgm:prSet presAssocID="{C45D54F1-F5EA-4356-B7E3-A2CB061A47A0}" presName="compositeNode" presStyleCnt="0">
        <dgm:presLayoutVars>
          <dgm:bulletEnabled val="1"/>
        </dgm:presLayoutVars>
      </dgm:prSet>
      <dgm:spPr/>
    </dgm:pt>
    <dgm:pt modelId="{C4C1335D-FB7D-4A64-9D7B-ECD54563CD62}" type="pres">
      <dgm:prSet presAssocID="{C45D54F1-F5EA-4356-B7E3-A2CB061A47A0}" presName="bgRect" presStyleLbl="node1" presStyleIdx="2" presStyleCnt="3"/>
      <dgm:spPr/>
    </dgm:pt>
    <dgm:pt modelId="{119B6162-A3B1-4329-AA31-AB3D4FE7D22F}" type="pres">
      <dgm:prSet presAssocID="{C45D54F1-F5EA-4356-B7E3-A2CB061A47A0}" presName="parentNode" presStyleLbl="node1" presStyleIdx="2" presStyleCnt="3">
        <dgm:presLayoutVars>
          <dgm:chMax val="0"/>
          <dgm:bulletEnabled val="1"/>
        </dgm:presLayoutVars>
      </dgm:prSet>
      <dgm:spPr/>
    </dgm:pt>
    <dgm:pt modelId="{BB0BD408-EC18-4B5A-BA82-817AEAA0BF1C}" type="pres">
      <dgm:prSet presAssocID="{C45D54F1-F5EA-4356-B7E3-A2CB061A47A0}" presName="childNode" presStyleLbl="node1" presStyleIdx="2" presStyleCnt="3">
        <dgm:presLayoutVars>
          <dgm:bulletEnabled val="1"/>
        </dgm:presLayoutVars>
      </dgm:prSet>
      <dgm:spPr/>
    </dgm:pt>
  </dgm:ptLst>
  <dgm:cxnLst>
    <dgm:cxn modelId="{6E108E0F-1FE0-4CEE-970C-43FE13B44161}" type="presOf" srcId="{2529D431-B1F8-4A74-9936-EC9687DD8B94}" destId="{61A2A803-EFAA-4AF9-969D-FD6780B297EA}" srcOrd="0" destOrd="0" presId="urn:microsoft.com/office/officeart/2005/8/layout/hProcess7"/>
    <dgm:cxn modelId="{F3099936-0482-49D9-9213-4170012DD021}" type="presOf" srcId="{72786A50-E011-48C0-AB82-74CD5570C018}" destId="{21E1C404-5EC1-497F-8773-2D815E3C07E9}" srcOrd="1" destOrd="0" presId="urn:microsoft.com/office/officeart/2005/8/layout/hProcess7"/>
    <dgm:cxn modelId="{D489F73C-815C-4FCD-9A95-5406418EE682}" srcId="{C45D54F1-F5EA-4356-B7E3-A2CB061A47A0}" destId="{BB76ED62-6764-4953-9953-C65237AA18B0}" srcOrd="0" destOrd="0" parTransId="{8F3D46EF-0D33-4590-A10A-EA70B04C6FB0}" sibTransId="{44B7A457-CC00-478C-BA51-7B39A6989698}"/>
    <dgm:cxn modelId="{527A405B-3DDE-4443-8060-B29F3065EB4D}" type="presOf" srcId="{BB76ED62-6764-4953-9953-C65237AA18B0}" destId="{BB0BD408-EC18-4B5A-BA82-817AEAA0BF1C}" srcOrd="0" destOrd="0" presId="urn:microsoft.com/office/officeart/2005/8/layout/hProcess7"/>
    <dgm:cxn modelId="{0E9F2844-1988-4A44-A210-5595A6031840}" type="presOf" srcId="{2529D431-B1F8-4A74-9936-EC9687DD8B94}" destId="{525176E5-A4E6-470E-BEC6-2787EBFC1C7F}" srcOrd="1" destOrd="0" presId="urn:microsoft.com/office/officeart/2005/8/layout/hProcess7"/>
    <dgm:cxn modelId="{9317AF6D-D9D7-466A-9155-79CE5442242A}" type="presOf" srcId="{C45D54F1-F5EA-4356-B7E3-A2CB061A47A0}" destId="{119B6162-A3B1-4329-AA31-AB3D4FE7D22F}" srcOrd="1" destOrd="0" presId="urn:microsoft.com/office/officeart/2005/8/layout/hProcess7"/>
    <dgm:cxn modelId="{EE848E72-96E9-419A-B41A-82FFBB642136}" type="presOf" srcId="{C45D54F1-F5EA-4356-B7E3-A2CB061A47A0}" destId="{C4C1335D-FB7D-4A64-9D7B-ECD54563CD62}" srcOrd="0" destOrd="0" presId="urn:microsoft.com/office/officeart/2005/8/layout/hProcess7"/>
    <dgm:cxn modelId="{6848C390-DAE0-40BE-B27E-E824F27F1593}" srcId="{2529D431-B1F8-4A74-9936-EC9687DD8B94}" destId="{91D88072-A1E2-48FA-95A0-BEC393B3C85A}" srcOrd="0" destOrd="0" parTransId="{E41CA490-ECEC-40D2-A936-5C145E26A977}" sibTransId="{8BD2A2A2-B238-4093-83C5-E5E3D147D998}"/>
    <dgm:cxn modelId="{9F27E297-BBF8-4481-8813-35497DF81B0D}" type="presOf" srcId="{5E142380-F602-4CC5-BDCD-5D34DE2801E2}" destId="{E8E3AE34-8DDC-4C96-B9A3-334BB2CB7EF4}" srcOrd="0" destOrd="0" presId="urn:microsoft.com/office/officeart/2005/8/layout/hProcess7"/>
    <dgm:cxn modelId="{FDBEE2B3-86E2-455A-B13E-93FA5D446D95}" type="presOf" srcId="{44AD7CE9-3844-403A-90F2-6BDA465C1678}" destId="{CA43DE7D-C17F-48FE-9A5D-E68EBA6CE82F}" srcOrd="0" destOrd="0" presId="urn:microsoft.com/office/officeart/2005/8/layout/hProcess7"/>
    <dgm:cxn modelId="{E6FC3FB8-0D76-4FF3-90BB-4ADE794844FC}" srcId="{44AD7CE9-3844-403A-90F2-6BDA465C1678}" destId="{C45D54F1-F5EA-4356-B7E3-A2CB061A47A0}" srcOrd="2" destOrd="0" parTransId="{BCBF639B-1AB5-44E0-91CD-ABD0742ED41A}" sibTransId="{27AED645-49CC-42A7-A9DA-BDFC5BA54514}"/>
    <dgm:cxn modelId="{A6A1C4B8-4E08-4CD0-96EC-A58D401337BA}" type="presOf" srcId="{72786A50-E011-48C0-AB82-74CD5570C018}" destId="{C09F74FD-CEA5-4CE5-BDC1-F5A0C8EA4A53}" srcOrd="0" destOrd="0" presId="urn:microsoft.com/office/officeart/2005/8/layout/hProcess7"/>
    <dgm:cxn modelId="{B12F22D7-D7AC-47BC-AD93-81CC9308ABB9}" srcId="{44AD7CE9-3844-403A-90F2-6BDA465C1678}" destId="{2529D431-B1F8-4A74-9936-EC9687DD8B94}" srcOrd="1" destOrd="0" parTransId="{E9D5293B-7767-4174-8DF7-07D433134018}" sibTransId="{9CB2E176-1E28-482C-8A47-8C8AD43ACED0}"/>
    <dgm:cxn modelId="{A30F0BE2-291A-44D5-9E54-78C4C5DBACC5}" type="presOf" srcId="{91D88072-A1E2-48FA-95A0-BEC393B3C85A}" destId="{B989B059-2F3B-4F1A-9B4C-39ECA36CFACD}" srcOrd="0" destOrd="0" presId="urn:microsoft.com/office/officeart/2005/8/layout/hProcess7"/>
    <dgm:cxn modelId="{DEBFEAF1-5E3E-433A-8752-452FB7301581}" srcId="{72786A50-E011-48C0-AB82-74CD5570C018}" destId="{5E142380-F602-4CC5-BDCD-5D34DE2801E2}" srcOrd="0" destOrd="0" parTransId="{80AF5A5B-BD36-4366-B6CE-9E9AB75C3432}" sibTransId="{F00AD2F4-0285-47CC-B5F2-F299596040A0}"/>
    <dgm:cxn modelId="{5F6679FC-7248-408A-9174-A06417FA9DAF}" srcId="{44AD7CE9-3844-403A-90F2-6BDA465C1678}" destId="{72786A50-E011-48C0-AB82-74CD5570C018}" srcOrd="0" destOrd="0" parTransId="{ACE91D8A-9A3B-4CE9-A6D6-29827320DA6C}" sibTransId="{34111050-FF08-43D7-AAAB-88B043F9C001}"/>
    <dgm:cxn modelId="{D5E1E0ED-EB30-4384-AB6E-92548C7CBEA9}" type="presParOf" srcId="{CA43DE7D-C17F-48FE-9A5D-E68EBA6CE82F}" destId="{BF0DA4DB-F501-4AF3-BD7D-A062E8B54822}" srcOrd="0" destOrd="0" presId="urn:microsoft.com/office/officeart/2005/8/layout/hProcess7"/>
    <dgm:cxn modelId="{10866D8D-65F7-4224-B975-7D50FA36361F}" type="presParOf" srcId="{BF0DA4DB-F501-4AF3-BD7D-A062E8B54822}" destId="{C09F74FD-CEA5-4CE5-BDC1-F5A0C8EA4A53}" srcOrd="0" destOrd="0" presId="urn:microsoft.com/office/officeart/2005/8/layout/hProcess7"/>
    <dgm:cxn modelId="{F8CBE14A-40A9-430B-97E6-3688C1AC0012}" type="presParOf" srcId="{BF0DA4DB-F501-4AF3-BD7D-A062E8B54822}" destId="{21E1C404-5EC1-497F-8773-2D815E3C07E9}" srcOrd="1" destOrd="0" presId="urn:microsoft.com/office/officeart/2005/8/layout/hProcess7"/>
    <dgm:cxn modelId="{A1B96312-5D55-4084-8B6B-A49A1F21A8E1}" type="presParOf" srcId="{BF0DA4DB-F501-4AF3-BD7D-A062E8B54822}" destId="{E8E3AE34-8DDC-4C96-B9A3-334BB2CB7EF4}" srcOrd="2" destOrd="0" presId="urn:microsoft.com/office/officeart/2005/8/layout/hProcess7"/>
    <dgm:cxn modelId="{90595B59-A6A5-4441-8100-0B3708327D75}" type="presParOf" srcId="{CA43DE7D-C17F-48FE-9A5D-E68EBA6CE82F}" destId="{072AE9F5-540E-439F-848A-F59B062AA082}" srcOrd="1" destOrd="0" presId="urn:microsoft.com/office/officeart/2005/8/layout/hProcess7"/>
    <dgm:cxn modelId="{E3EF2FA2-441F-4E8E-ABAE-9458C1308829}" type="presParOf" srcId="{CA43DE7D-C17F-48FE-9A5D-E68EBA6CE82F}" destId="{A36C3D67-4374-4547-96F5-FED7BCC72B76}" srcOrd="2" destOrd="0" presId="urn:microsoft.com/office/officeart/2005/8/layout/hProcess7"/>
    <dgm:cxn modelId="{53E1D375-27CA-4060-A260-488592EBE246}" type="presParOf" srcId="{A36C3D67-4374-4547-96F5-FED7BCC72B76}" destId="{865D1F2D-1D0C-48C1-88FB-FCA7B1C022D1}" srcOrd="0" destOrd="0" presId="urn:microsoft.com/office/officeart/2005/8/layout/hProcess7"/>
    <dgm:cxn modelId="{1E48321E-FC7A-4D4E-95C6-94FA2F1489C1}" type="presParOf" srcId="{A36C3D67-4374-4547-96F5-FED7BCC72B76}" destId="{EF6A63F8-E3CD-4935-88C8-C27C757E5EB5}" srcOrd="1" destOrd="0" presId="urn:microsoft.com/office/officeart/2005/8/layout/hProcess7"/>
    <dgm:cxn modelId="{6240ADFF-6204-43A5-ACE5-43B49E0AED4F}" type="presParOf" srcId="{A36C3D67-4374-4547-96F5-FED7BCC72B76}" destId="{FF0A63A2-A1C5-4903-9CA0-E27BEE7DC4CC}" srcOrd="2" destOrd="0" presId="urn:microsoft.com/office/officeart/2005/8/layout/hProcess7"/>
    <dgm:cxn modelId="{23C16577-EEE1-479D-BD55-D3FD458D9DAF}" type="presParOf" srcId="{CA43DE7D-C17F-48FE-9A5D-E68EBA6CE82F}" destId="{25A567A2-C4CC-47ED-9092-04A6E4D56641}" srcOrd="3" destOrd="0" presId="urn:microsoft.com/office/officeart/2005/8/layout/hProcess7"/>
    <dgm:cxn modelId="{01B7CF14-49CD-4FC9-8D52-5AD30B67266D}" type="presParOf" srcId="{CA43DE7D-C17F-48FE-9A5D-E68EBA6CE82F}" destId="{EB15C078-6BB1-46FF-9D2B-98571C86FCAA}" srcOrd="4" destOrd="0" presId="urn:microsoft.com/office/officeart/2005/8/layout/hProcess7"/>
    <dgm:cxn modelId="{7A0D77CD-FB46-4C40-B668-6226ECE04A01}" type="presParOf" srcId="{EB15C078-6BB1-46FF-9D2B-98571C86FCAA}" destId="{61A2A803-EFAA-4AF9-969D-FD6780B297EA}" srcOrd="0" destOrd="0" presId="urn:microsoft.com/office/officeart/2005/8/layout/hProcess7"/>
    <dgm:cxn modelId="{14238F96-7685-4CCD-9449-3D7BD4C1A5C2}" type="presParOf" srcId="{EB15C078-6BB1-46FF-9D2B-98571C86FCAA}" destId="{525176E5-A4E6-470E-BEC6-2787EBFC1C7F}" srcOrd="1" destOrd="0" presId="urn:microsoft.com/office/officeart/2005/8/layout/hProcess7"/>
    <dgm:cxn modelId="{B8D15B68-9CE0-4239-A35F-0158D848DC13}" type="presParOf" srcId="{EB15C078-6BB1-46FF-9D2B-98571C86FCAA}" destId="{B989B059-2F3B-4F1A-9B4C-39ECA36CFACD}" srcOrd="2" destOrd="0" presId="urn:microsoft.com/office/officeart/2005/8/layout/hProcess7"/>
    <dgm:cxn modelId="{2F8EB559-425C-4943-8354-55AE21ABCC80}" type="presParOf" srcId="{CA43DE7D-C17F-48FE-9A5D-E68EBA6CE82F}" destId="{ABCFE524-9378-45A0-B168-431B630A7D1E}" srcOrd="5" destOrd="0" presId="urn:microsoft.com/office/officeart/2005/8/layout/hProcess7"/>
    <dgm:cxn modelId="{A07AC90B-415A-4ABB-A70F-70BCF2F32DA7}" type="presParOf" srcId="{CA43DE7D-C17F-48FE-9A5D-E68EBA6CE82F}" destId="{CAC2DB95-813C-4AD0-85DF-6CDA64B58489}" srcOrd="6" destOrd="0" presId="urn:microsoft.com/office/officeart/2005/8/layout/hProcess7"/>
    <dgm:cxn modelId="{38FB43CA-9257-4314-9041-4F28C526F2C1}" type="presParOf" srcId="{CAC2DB95-813C-4AD0-85DF-6CDA64B58489}" destId="{0CB6C6D4-AF7B-463E-AA20-7F4637DE58CC}" srcOrd="0" destOrd="0" presId="urn:microsoft.com/office/officeart/2005/8/layout/hProcess7"/>
    <dgm:cxn modelId="{1CBB81BF-D809-4C9C-AC9D-89C9DD28FE2F}" type="presParOf" srcId="{CAC2DB95-813C-4AD0-85DF-6CDA64B58489}" destId="{2305EE12-8A2E-48DF-BF7E-75C1F0E7B31A}" srcOrd="1" destOrd="0" presId="urn:microsoft.com/office/officeart/2005/8/layout/hProcess7"/>
    <dgm:cxn modelId="{77B895BB-DF2D-4A4F-9C17-885A4C67C870}" type="presParOf" srcId="{CAC2DB95-813C-4AD0-85DF-6CDA64B58489}" destId="{692AD61C-4896-4257-BDE0-0D27FD14640C}" srcOrd="2" destOrd="0" presId="urn:microsoft.com/office/officeart/2005/8/layout/hProcess7"/>
    <dgm:cxn modelId="{9A4B1F72-8AD9-483A-873B-8033DF6FEB4B}" type="presParOf" srcId="{CA43DE7D-C17F-48FE-9A5D-E68EBA6CE82F}" destId="{8E9621DF-9B72-4533-842E-1703D44155CC}" srcOrd="7" destOrd="0" presId="urn:microsoft.com/office/officeart/2005/8/layout/hProcess7"/>
    <dgm:cxn modelId="{340B0ECB-947C-47EF-8B0D-01EC7066FB1A}" type="presParOf" srcId="{CA43DE7D-C17F-48FE-9A5D-E68EBA6CE82F}" destId="{35205D77-7850-4029-996A-57DD4E442113}" srcOrd="8" destOrd="0" presId="urn:microsoft.com/office/officeart/2005/8/layout/hProcess7"/>
    <dgm:cxn modelId="{B7262BDA-20A4-4543-81EC-B04D69C63673}" type="presParOf" srcId="{35205D77-7850-4029-996A-57DD4E442113}" destId="{C4C1335D-FB7D-4A64-9D7B-ECD54563CD62}" srcOrd="0" destOrd="0" presId="urn:microsoft.com/office/officeart/2005/8/layout/hProcess7"/>
    <dgm:cxn modelId="{FA5056E5-16EC-4CD1-8543-9A2960782365}" type="presParOf" srcId="{35205D77-7850-4029-996A-57DD4E442113}" destId="{119B6162-A3B1-4329-AA31-AB3D4FE7D22F}" srcOrd="1" destOrd="0" presId="urn:microsoft.com/office/officeart/2005/8/layout/hProcess7"/>
    <dgm:cxn modelId="{1353C832-D023-43A5-9F41-BF39F9D2A576}" type="presParOf" srcId="{35205D77-7850-4029-996A-57DD4E442113}" destId="{BB0BD408-EC18-4B5A-BA82-817AEAA0BF1C}"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7A426A-919F-4910-810C-8B90CE3897BF}"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s-CO"/>
        </a:p>
      </dgm:t>
    </dgm:pt>
    <dgm:pt modelId="{DD035F7F-2956-4E1C-8559-39801BC304A1}">
      <dgm:prSet phldrT="[Texto]"/>
      <dgm:spPr/>
      <dgm:t>
        <a:bodyPr/>
        <a:lstStyle/>
        <a:p>
          <a:r>
            <a:rPr lang="es-CO"/>
            <a:t>Todos los funcionarios</a:t>
          </a:r>
        </a:p>
      </dgm:t>
    </dgm:pt>
    <dgm:pt modelId="{2C14B166-E8D7-49A8-ADE8-C63F279BF014}" type="parTrans" cxnId="{DCB0DB3C-CE3A-4EEE-8C77-23F4BDB6D70D}">
      <dgm:prSet/>
      <dgm:spPr/>
      <dgm:t>
        <a:bodyPr/>
        <a:lstStyle/>
        <a:p>
          <a:endParaRPr lang="es-CO"/>
        </a:p>
      </dgm:t>
    </dgm:pt>
    <dgm:pt modelId="{C1D16BD8-6C37-4F56-AD4A-74DE2AE157C5}" type="sibTrans" cxnId="{DCB0DB3C-CE3A-4EEE-8C77-23F4BDB6D70D}">
      <dgm:prSet/>
      <dgm:spPr/>
      <dgm:t>
        <a:bodyPr/>
        <a:lstStyle/>
        <a:p>
          <a:endParaRPr lang="es-CO"/>
        </a:p>
      </dgm:t>
    </dgm:pt>
    <dgm:pt modelId="{987E715E-DBA6-40BD-BC44-86AAA9B0FB55}">
      <dgm:prSet phldrT="[Texto]"/>
      <dgm:spPr/>
      <dgm:t>
        <a:bodyPr/>
        <a:lstStyle/>
        <a:p>
          <a:r>
            <a:rPr lang="es-CO"/>
            <a:t>Gestor de riesgo</a:t>
          </a:r>
        </a:p>
      </dgm:t>
    </dgm:pt>
    <dgm:pt modelId="{FE08CC42-92D0-4ED2-8664-827ABBA7944A}" type="parTrans" cxnId="{026334BA-1D1D-4A93-BC52-7802C03FC5B5}">
      <dgm:prSet/>
      <dgm:spPr/>
      <dgm:t>
        <a:bodyPr/>
        <a:lstStyle/>
        <a:p>
          <a:endParaRPr lang="es-CO"/>
        </a:p>
      </dgm:t>
    </dgm:pt>
    <dgm:pt modelId="{542FF3EB-5E86-4B91-837D-96084DF74C44}" type="sibTrans" cxnId="{026334BA-1D1D-4A93-BC52-7802C03FC5B5}">
      <dgm:prSet/>
      <dgm:spPr/>
      <dgm:t>
        <a:bodyPr/>
        <a:lstStyle/>
        <a:p>
          <a:endParaRPr lang="es-CO"/>
        </a:p>
      </dgm:t>
    </dgm:pt>
    <dgm:pt modelId="{0D96D399-E6FD-4257-9721-4B7CA40D5ACE}">
      <dgm:prSet phldrT="[Texto]"/>
      <dgm:spPr/>
      <dgm:t>
        <a:bodyPr/>
        <a:lstStyle/>
        <a:p>
          <a:r>
            <a:rPr lang="es-CO"/>
            <a:t>Subdirector del area</a:t>
          </a:r>
        </a:p>
      </dgm:t>
    </dgm:pt>
    <dgm:pt modelId="{8BBEE773-FA21-4E26-9E62-1F7964FD79CD}" type="parTrans" cxnId="{95426C52-DA20-490C-8A89-FB9057C0DD4D}">
      <dgm:prSet/>
      <dgm:spPr/>
      <dgm:t>
        <a:bodyPr/>
        <a:lstStyle/>
        <a:p>
          <a:endParaRPr lang="es-CO"/>
        </a:p>
      </dgm:t>
    </dgm:pt>
    <dgm:pt modelId="{51D5CD3D-FAF4-4DC3-A27F-7EED02571569}" type="sibTrans" cxnId="{95426C52-DA20-490C-8A89-FB9057C0DD4D}">
      <dgm:prSet/>
      <dgm:spPr/>
      <dgm:t>
        <a:bodyPr/>
        <a:lstStyle/>
        <a:p>
          <a:endParaRPr lang="es-CO"/>
        </a:p>
      </dgm:t>
    </dgm:pt>
    <dgm:pt modelId="{750BA54D-421E-45A5-A9DF-28A8FF3D1B8E}">
      <dgm:prSet/>
      <dgm:spPr/>
      <dgm:t>
        <a:bodyPr/>
        <a:lstStyle/>
        <a:p>
          <a:r>
            <a:rPr lang="es-CO"/>
            <a:t>Subdirección de Riesgo</a:t>
          </a:r>
        </a:p>
      </dgm:t>
    </dgm:pt>
    <dgm:pt modelId="{848125E3-184F-47CA-A63A-ED03DDC1CDE5}" type="parTrans" cxnId="{2D636E9D-0F00-4B8D-8FA5-1E9581B762F3}">
      <dgm:prSet/>
      <dgm:spPr/>
      <dgm:t>
        <a:bodyPr/>
        <a:lstStyle/>
        <a:p>
          <a:endParaRPr lang="es-CO"/>
        </a:p>
      </dgm:t>
    </dgm:pt>
    <dgm:pt modelId="{1549265B-B90E-45B0-AC96-7D265DAADD88}" type="sibTrans" cxnId="{2D636E9D-0F00-4B8D-8FA5-1E9581B762F3}">
      <dgm:prSet/>
      <dgm:spPr/>
      <dgm:t>
        <a:bodyPr/>
        <a:lstStyle/>
        <a:p>
          <a:endParaRPr lang="es-CO"/>
        </a:p>
      </dgm:t>
    </dgm:pt>
    <dgm:pt modelId="{5272E99A-54AB-48B2-96E8-CF429FB28C0A}">
      <dgm:prSet/>
      <dgm:spPr/>
      <dgm:t>
        <a:bodyPr/>
        <a:lstStyle/>
        <a:p>
          <a:r>
            <a:rPr lang="es-CO"/>
            <a:t>DGCPTN</a:t>
          </a:r>
        </a:p>
      </dgm:t>
    </dgm:pt>
    <dgm:pt modelId="{A14ECAD7-48AD-42B5-8AB2-94291DD3A0BA}" type="parTrans" cxnId="{05EBAA02-34E5-4E1C-ABC8-7EF69029709F}">
      <dgm:prSet/>
      <dgm:spPr/>
      <dgm:t>
        <a:bodyPr/>
        <a:lstStyle/>
        <a:p>
          <a:endParaRPr lang="es-CO"/>
        </a:p>
      </dgm:t>
    </dgm:pt>
    <dgm:pt modelId="{8A82D495-0EA5-4635-93F9-3751C280B216}" type="sibTrans" cxnId="{05EBAA02-34E5-4E1C-ABC8-7EF69029709F}">
      <dgm:prSet/>
      <dgm:spPr/>
      <dgm:t>
        <a:bodyPr/>
        <a:lstStyle/>
        <a:p>
          <a:endParaRPr lang="es-CO"/>
        </a:p>
      </dgm:t>
    </dgm:pt>
    <dgm:pt modelId="{A918BB32-332E-468C-A934-9FDD659B88E4}" type="pres">
      <dgm:prSet presAssocID="{4E7A426A-919F-4910-810C-8B90CE3897BF}" presName="Name0" presStyleCnt="0">
        <dgm:presLayoutVars>
          <dgm:chMax val="7"/>
          <dgm:chPref val="7"/>
          <dgm:dir val="rev"/>
          <dgm:animLvl val="lvl"/>
        </dgm:presLayoutVars>
      </dgm:prSet>
      <dgm:spPr/>
    </dgm:pt>
    <dgm:pt modelId="{179B9EF3-8748-4DE8-9A3D-E4E74B716B83}" type="pres">
      <dgm:prSet presAssocID="{DD035F7F-2956-4E1C-8559-39801BC304A1}" presName="Accent1" presStyleCnt="0"/>
      <dgm:spPr/>
    </dgm:pt>
    <dgm:pt modelId="{48941450-DE20-4A5C-BDD1-52B6BF938E85}" type="pres">
      <dgm:prSet presAssocID="{DD035F7F-2956-4E1C-8559-39801BC304A1}" presName="Accent" presStyleLbl="node1" presStyleIdx="0" presStyleCnt="5"/>
      <dgm:spPr/>
    </dgm:pt>
    <dgm:pt modelId="{4E1D0D9E-391B-4888-9859-AE8A6C5667A6}" type="pres">
      <dgm:prSet presAssocID="{DD035F7F-2956-4E1C-8559-39801BC304A1}" presName="Parent1" presStyleLbl="revTx" presStyleIdx="0" presStyleCnt="5">
        <dgm:presLayoutVars>
          <dgm:chMax val="1"/>
          <dgm:chPref val="1"/>
          <dgm:bulletEnabled val="1"/>
        </dgm:presLayoutVars>
      </dgm:prSet>
      <dgm:spPr/>
    </dgm:pt>
    <dgm:pt modelId="{0E8FDCA6-352B-4217-B79F-B87955B1F386}" type="pres">
      <dgm:prSet presAssocID="{987E715E-DBA6-40BD-BC44-86AAA9B0FB55}" presName="Accent2" presStyleCnt="0"/>
      <dgm:spPr/>
    </dgm:pt>
    <dgm:pt modelId="{65149967-DCC9-41DC-974D-F078C49DC5F9}" type="pres">
      <dgm:prSet presAssocID="{987E715E-DBA6-40BD-BC44-86AAA9B0FB55}" presName="Accent" presStyleLbl="node1" presStyleIdx="1" presStyleCnt="5"/>
      <dgm:spPr/>
    </dgm:pt>
    <dgm:pt modelId="{608875DF-9DE0-47EA-8FE7-2015F49D2B3D}" type="pres">
      <dgm:prSet presAssocID="{987E715E-DBA6-40BD-BC44-86AAA9B0FB55}" presName="Parent2" presStyleLbl="revTx" presStyleIdx="1" presStyleCnt="5">
        <dgm:presLayoutVars>
          <dgm:chMax val="1"/>
          <dgm:chPref val="1"/>
          <dgm:bulletEnabled val="1"/>
        </dgm:presLayoutVars>
      </dgm:prSet>
      <dgm:spPr/>
    </dgm:pt>
    <dgm:pt modelId="{27450CA1-46B8-4D51-8792-FD1CAEF8884A}" type="pres">
      <dgm:prSet presAssocID="{0D96D399-E6FD-4257-9721-4B7CA40D5ACE}" presName="Accent3" presStyleCnt="0"/>
      <dgm:spPr/>
    </dgm:pt>
    <dgm:pt modelId="{089BD4D3-0399-45A2-B5EF-E35F3194013A}" type="pres">
      <dgm:prSet presAssocID="{0D96D399-E6FD-4257-9721-4B7CA40D5ACE}" presName="Accent" presStyleLbl="node1" presStyleIdx="2" presStyleCnt="5"/>
      <dgm:spPr/>
    </dgm:pt>
    <dgm:pt modelId="{46DAA362-AA08-46DD-8D66-10C8A9D0529A}" type="pres">
      <dgm:prSet presAssocID="{0D96D399-E6FD-4257-9721-4B7CA40D5ACE}" presName="Parent3" presStyleLbl="revTx" presStyleIdx="2" presStyleCnt="5">
        <dgm:presLayoutVars>
          <dgm:chMax val="1"/>
          <dgm:chPref val="1"/>
          <dgm:bulletEnabled val="1"/>
        </dgm:presLayoutVars>
      </dgm:prSet>
      <dgm:spPr/>
    </dgm:pt>
    <dgm:pt modelId="{029E7AE8-4132-4AB9-896B-CC4AB25591BC}" type="pres">
      <dgm:prSet presAssocID="{750BA54D-421E-45A5-A9DF-28A8FF3D1B8E}" presName="Accent4" presStyleCnt="0"/>
      <dgm:spPr/>
    </dgm:pt>
    <dgm:pt modelId="{B1F12CA7-055F-45F5-BC5D-4B9CCB2037F6}" type="pres">
      <dgm:prSet presAssocID="{750BA54D-421E-45A5-A9DF-28A8FF3D1B8E}" presName="Accent" presStyleLbl="node1" presStyleIdx="3" presStyleCnt="5"/>
      <dgm:spPr/>
    </dgm:pt>
    <dgm:pt modelId="{DB9B9AAE-208B-48A8-A430-553FB073D5C4}" type="pres">
      <dgm:prSet presAssocID="{750BA54D-421E-45A5-A9DF-28A8FF3D1B8E}" presName="Parent4" presStyleLbl="revTx" presStyleIdx="3" presStyleCnt="5">
        <dgm:presLayoutVars>
          <dgm:chMax val="1"/>
          <dgm:chPref val="1"/>
          <dgm:bulletEnabled val="1"/>
        </dgm:presLayoutVars>
      </dgm:prSet>
      <dgm:spPr/>
    </dgm:pt>
    <dgm:pt modelId="{1707B50F-B2E2-49D6-89D6-A12B1112D4B7}" type="pres">
      <dgm:prSet presAssocID="{5272E99A-54AB-48B2-96E8-CF429FB28C0A}" presName="Accent5" presStyleCnt="0"/>
      <dgm:spPr/>
    </dgm:pt>
    <dgm:pt modelId="{490F47F3-A169-4139-986B-2587E145FB7E}" type="pres">
      <dgm:prSet presAssocID="{5272E99A-54AB-48B2-96E8-CF429FB28C0A}" presName="Accent" presStyleLbl="node1" presStyleIdx="4" presStyleCnt="5"/>
      <dgm:spPr/>
    </dgm:pt>
    <dgm:pt modelId="{F5B807DE-4AC4-440A-BF19-2042DE5C0B12}" type="pres">
      <dgm:prSet presAssocID="{5272E99A-54AB-48B2-96E8-CF429FB28C0A}" presName="Parent5" presStyleLbl="revTx" presStyleIdx="4" presStyleCnt="5">
        <dgm:presLayoutVars>
          <dgm:chMax val="1"/>
          <dgm:chPref val="1"/>
          <dgm:bulletEnabled val="1"/>
        </dgm:presLayoutVars>
      </dgm:prSet>
      <dgm:spPr/>
    </dgm:pt>
  </dgm:ptLst>
  <dgm:cxnLst>
    <dgm:cxn modelId="{05EBAA02-34E5-4E1C-ABC8-7EF69029709F}" srcId="{4E7A426A-919F-4910-810C-8B90CE3897BF}" destId="{5272E99A-54AB-48B2-96E8-CF429FB28C0A}" srcOrd="4" destOrd="0" parTransId="{A14ECAD7-48AD-42B5-8AB2-94291DD3A0BA}" sibTransId="{8A82D495-0EA5-4635-93F9-3751C280B216}"/>
    <dgm:cxn modelId="{EFDE643A-63A2-4850-8D98-CC2AE38F1B64}" type="presOf" srcId="{987E715E-DBA6-40BD-BC44-86AAA9B0FB55}" destId="{608875DF-9DE0-47EA-8FE7-2015F49D2B3D}" srcOrd="0" destOrd="0" presId="urn:microsoft.com/office/officeart/2009/layout/CircleArrowProcess"/>
    <dgm:cxn modelId="{DCB0DB3C-CE3A-4EEE-8C77-23F4BDB6D70D}" srcId="{4E7A426A-919F-4910-810C-8B90CE3897BF}" destId="{DD035F7F-2956-4E1C-8559-39801BC304A1}" srcOrd="0" destOrd="0" parTransId="{2C14B166-E8D7-49A8-ADE8-C63F279BF014}" sibTransId="{C1D16BD8-6C37-4F56-AD4A-74DE2AE157C5}"/>
    <dgm:cxn modelId="{7D953168-9A1E-4B1C-B315-324F40F9C98E}" type="presOf" srcId="{DD035F7F-2956-4E1C-8559-39801BC304A1}" destId="{4E1D0D9E-391B-4888-9859-AE8A6C5667A6}" srcOrd="0" destOrd="0" presId="urn:microsoft.com/office/officeart/2009/layout/CircleArrowProcess"/>
    <dgm:cxn modelId="{61953152-FD31-40F7-8397-D7316A94734A}" type="presOf" srcId="{5272E99A-54AB-48B2-96E8-CF429FB28C0A}" destId="{F5B807DE-4AC4-440A-BF19-2042DE5C0B12}" srcOrd="0" destOrd="0" presId="urn:microsoft.com/office/officeart/2009/layout/CircleArrowProcess"/>
    <dgm:cxn modelId="{95426C52-DA20-490C-8A89-FB9057C0DD4D}" srcId="{4E7A426A-919F-4910-810C-8B90CE3897BF}" destId="{0D96D399-E6FD-4257-9721-4B7CA40D5ACE}" srcOrd="2" destOrd="0" parTransId="{8BBEE773-FA21-4E26-9E62-1F7964FD79CD}" sibTransId="{51D5CD3D-FAF4-4DC3-A27F-7EED02571569}"/>
    <dgm:cxn modelId="{CED5207D-4E98-4D89-A646-86A61B6C0EB2}" type="presOf" srcId="{0D96D399-E6FD-4257-9721-4B7CA40D5ACE}" destId="{46DAA362-AA08-46DD-8D66-10C8A9D0529A}" srcOrd="0" destOrd="0" presId="urn:microsoft.com/office/officeart/2009/layout/CircleArrowProcess"/>
    <dgm:cxn modelId="{2F2A938F-F8C1-4B56-8DDF-FE8255C1C780}" type="presOf" srcId="{4E7A426A-919F-4910-810C-8B90CE3897BF}" destId="{A918BB32-332E-468C-A934-9FDD659B88E4}" srcOrd="0" destOrd="0" presId="urn:microsoft.com/office/officeart/2009/layout/CircleArrowProcess"/>
    <dgm:cxn modelId="{2D636E9D-0F00-4B8D-8FA5-1E9581B762F3}" srcId="{4E7A426A-919F-4910-810C-8B90CE3897BF}" destId="{750BA54D-421E-45A5-A9DF-28A8FF3D1B8E}" srcOrd="3" destOrd="0" parTransId="{848125E3-184F-47CA-A63A-ED03DDC1CDE5}" sibTransId="{1549265B-B90E-45B0-AC96-7D265DAADD88}"/>
    <dgm:cxn modelId="{026334BA-1D1D-4A93-BC52-7802C03FC5B5}" srcId="{4E7A426A-919F-4910-810C-8B90CE3897BF}" destId="{987E715E-DBA6-40BD-BC44-86AAA9B0FB55}" srcOrd="1" destOrd="0" parTransId="{FE08CC42-92D0-4ED2-8664-827ABBA7944A}" sibTransId="{542FF3EB-5E86-4B91-837D-96084DF74C44}"/>
    <dgm:cxn modelId="{B81CBBC7-FB6C-4DE4-A60A-13C124886B37}" type="presOf" srcId="{750BA54D-421E-45A5-A9DF-28A8FF3D1B8E}" destId="{DB9B9AAE-208B-48A8-A430-553FB073D5C4}" srcOrd="0" destOrd="0" presId="urn:microsoft.com/office/officeart/2009/layout/CircleArrowProcess"/>
    <dgm:cxn modelId="{6BE42DE8-33AF-4C97-95E5-EBF6E97A94ED}" type="presParOf" srcId="{A918BB32-332E-468C-A934-9FDD659B88E4}" destId="{179B9EF3-8748-4DE8-9A3D-E4E74B716B83}" srcOrd="0" destOrd="0" presId="urn:microsoft.com/office/officeart/2009/layout/CircleArrowProcess"/>
    <dgm:cxn modelId="{B9A3EFA5-A993-43D3-8BF7-5D2FFF6EFC83}" type="presParOf" srcId="{179B9EF3-8748-4DE8-9A3D-E4E74B716B83}" destId="{48941450-DE20-4A5C-BDD1-52B6BF938E85}" srcOrd="0" destOrd="0" presId="urn:microsoft.com/office/officeart/2009/layout/CircleArrowProcess"/>
    <dgm:cxn modelId="{9543F1C6-C554-4BAD-BDDF-43CD4D2E605D}" type="presParOf" srcId="{A918BB32-332E-468C-A934-9FDD659B88E4}" destId="{4E1D0D9E-391B-4888-9859-AE8A6C5667A6}" srcOrd="1" destOrd="0" presId="urn:microsoft.com/office/officeart/2009/layout/CircleArrowProcess"/>
    <dgm:cxn modelId="{7FA18550-E7CB-4222-ADA5-F72C2C8CD03C}" type="presParOf" srcId="{A918BB32-332E-468C-A934-9FDD659B88E4}" destId="{0E8FDCA6-352B-4217-B79F-B87955B1F386}" srcOrd="2" destOrd="0" presId="urn:microsoft.com/office/officeart/2009/layout/CircleArrowProcess"/>
    <dgm:cxn modelId="{CE2BE80A-8EF1-48C6-84DD-95537D796A17}" type="presParOf" srcId="{0E8FDCA6-352B-4217-B79F-B87955B1F386}" destId="{65149967-DCC9-41DC-974D-F078C49DC5F9}" srcOrd="0" destOrd="0" presId="urn:microsoft.com/office/officeart/2009/layout/CircleArrowProcess"/>
    <dgm:cxn modelId="{A5A5A198-BCE6-4B2F-B391-D59519D322CD}" type="presParOf" srcId="{A918BB32-332E-468C-A934-9FDD659B88E4}" destId="{608875DF-9DE0-47EA-8FE7-2015F49D2B3D}" srcOrd="3" destOrd="0" presId="urn:microsoft.com/office/officeart/2009/layout/CircleArrowProcess"/>
    <dgm:cxn modelId="{E6B6EAC9-1E0B-406C-B46E-859A8DE13063}" type="presParOf" srcId="{A918BB32-332E-468C-A934-9FDD659B88E4}" destId="{27450CA1-46B8-4D51-8792-FD1CAEF8884A}" srcOrd="4" destOrd="0" presId="urn:microsoft.com/office/officeart/2009/layout/CircleArrowProcess"/>
    <dgm:cxn modelId="{25C9DF17-7D7D-49D1-8D77-E56300E41F1C}" type="presParOf" srcId="{27450CA1-46B8-4D51-8792-FD1CAEF8884A}" destId="{089BD4D3-0399-45A2-B5EF-E35F3194013A}" srcOrd="0" destOrd="0" presId="urn:microsoft.com/office/officeart/2009/layout/CircleArrowProcess"/>
    <dgm:cxn modelId="{2BA4805D-0651-41ED-8A88-B81CA85BFF81}" type="presParOf" srcId="{A918BB32-332E-468C-A934-9FDD659B88E4}" destId="{46DAA362-AA08-46DD-8D66-10C8A9D0529A}" srcOrd="5" destOrd="0" presId="urn:microsoft.com/office/officeart/2009/layout/CircleArrowProcess"/>
    <dgm:cxn modelId="{226555B1-3028-486C-A083-A672D5DCA9E6}" type="presParOf" srcId="{A918BB32-332E-468C-A934-9FDD659B88E4}" destId="{029E7AE8-4132-4AB9-896B-CC4AB25591BC}" srcOrd="6" destOrd="0" presId="urn:microsoft.com/office/officeart/2009/layout/CircleArrowProcess"/>
    <dgm:cxn modelId="{EA6FFAAC-E764-46A7-9483-232E8469B61D}" type="presParOf" srcId="{029E7AE8-4132-4AB9-896B-CC4AB25591BC}" destId="{B1F12CA7-055F-45F5-BC5D-4B9CCB2037F6}" srcOrd="0" destOrd="0" presId="urn:microsoft.com/office/officeart/2009/layout/CircleArrowProcess"/>
    <dgm:cxn modelId="{D9AA94D0-EA9F-4BBB-AC47-E5C6DAAFE965}" type="presParOf" srcId="{A918BB32-332E-468C-A934-9FDD659B88E4}" destId="{DB9B9AAE-208B-48A8-A430-553FB073D5C4}" srcOrd="7" destOrd="0" presId="urn:microsoft.com/office/officeart/2009/layout/CircleArrowProcess"/>
    <dgm:cxn modelId="{54FCE1CC-06B0-4445-A142-F2155EFCF312}" type="presParOf" srcId="{A918BB32-332E-468C-A934-9FDD659B88E4}" destId="{1707B50F-B2E2-49D6-89D6-A12B1112D4B7}" srcOrd="8" destOrd="0" presId="urn:microsoft.com/office/officeart/2009/layout/CircleArrowProcess"/>
    <dgm:cxn modelId="{F54CDE60-2738-48F1-B284-CAADDD6668A1}" type="presParOf" srcId="{1707B50F-B2E2-49D6-89D6-A12B1112D4B7}" destId="{490F47F3-A169-4139-986B-2587E145FB7E}" srcOrd="0" destOrd="0" presId="urn:microsoft.com/office/officeart/2009/layout/CircleArrowProcess"/>
    <dgm:cxn modelId="{888752E6-C756-433F-97D7-87F139AE7D11}" type="presParOf" srcId="{A918BB32-332E-468C-A934-9FDD659B88E4}" destId="{F5B807DE-4AC4-440A-BF19-2042DE5C0B12}" srcOrd="9"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B23AD-AAA5-4011-838A-65DF3A227282}">
      <dsp:nvSpPr>
        <dsp:cNvPr id="0" name=""/>
        <dsp:cNvSpPr/>
      </dsp:nvSpPr>
      <dsp:spPr>
        <a:xfrm>
          <a:off x="1566462" y="2346516"/>
          <a:ext cx="1029099" cy="91883"/>
        </a:xfrm>
        <a:custGeom>
          <a:avLst/>
          <a:gdLst/>
          <a:ahLst/>
          <a:cxnLst/>
          <a:rect l="0" t="0" r="0" b="0"/>
          <a:pathLst>
            <a:path>
              <a:moveTo>
                <a:pt x="0" y="91883"/>
              </a:moveTo>
              <a:lnTo>
                <a:pt x="1029099" y="91883"/>
              </a:lnTo>
              <a:lnTo>
                <a:pt x="10290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936D30-F755-4A1A-B596-00A12B54ADD6}">
      <dsp:nvSpPr>
        <dsp:cNvPr id="0" name=""/>
        <dsp:cNvSpPr/>
      </dsp:nvSpPr>
      <dsp:spPr>
        <a:xfrm>
          <a:off x="1566462" y="2438400"/>
          <a:ext cx="2058199" cy="2212564"/>
        </a:xfrm>
        <a:custGeom>
          <a:avLst/>
          <a:gdLst/>
          <a:ahLst/>
          <a:cxnLst/>
          <a:rect l="0" t="0" r="0" b="0"/>
          <a:pathLst>
            <a:path>
              <a:moveTo>
                <a:pt x="0" y="0"/>
              </a:moveTo>
              <a:lnTo>
                <a:pt x="1911185" y="0"/>
              </a:lnTo>
              <a:lnTo>
                <a:pt x="1911185" y="2212564"/>
              </a:lnTo>
              <a:lnTo>
                <a:pt x="2058199" y="22125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BDAE33-247E-4EB1-8487-A5B8BE627475}">
      <dsp:nvSpPr>
        <dsp:cNvPr id="0" name=""/>
        <dsp:cNvSpPr/>
      </dsp:nvSpPr>
      <dsp:spPr>
        <a:xfrm>
          <a:off x="1566462" y="2438400"/>
          <a:ext cx="2058199" cy="1580403"/>
        </a:xfrm>
        <a:custGeom>
          <a:avLst/>
          <a:gdLst/>
          <a:ahLst/>
          <a:cxnLst/>
          <a:rect l="0" t="0" r="0" b="0"/>
          <a:pathLst>
            <a:path>
              <a:moveTo>
                <a:pt x="0" y="0"/>
              </a:moveTo>
              <a:lnTo>
                <a:pt x="1911185" y="0"/>
              </a:lnTo>
              <a:lnTo>
                <a:pt x="1911185" y="1580403"/>
              </a:lnTo>
              <a:lnTo>
                <a:pt x="2058199" y="15804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6ACC0-CEC0-49E2-907A-470880C19442}">
      <dsp:nvSpPr>
        <dsp:cNvPr id="0" name=""/>
        <dsp:cNvSpPr/>
      </dsp:nvSpPr>
      <dsp:spPr>
        <a:xfrm>
          <a:off x="1566462" y="2438400"/>
          <a:ext cx="2058199" cy="948242"/>
        </a:xfrm>
        <a:custGeom>
          <a:avLst/>
          <a:gdLst/>
          <a:ahLst/>
          <a:cxnLst/>
          <a:rect l="0" t="0" r="0" b="0"/>
          <a:pathLst>
            <a:path>
              <a:moveTo>
                <a:pt x="0" y="0"/>
              </a:moveTo>
              <a:lnTo>
                <a:pt x="1911185" y="0"/>
              </a:lnTo>
              <a:lnTo>
                <a:pt x="1911185" y="948242"/>
              </a:lnTo>
              <a:lnTo>
                <a:pt x="2058199" y="948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C4DF0-B5B2-406E-A887-AC788D2E9EC3}">
      <dsp:nvSpPr>
        <dsp:cNvPr id="0" name=""/>
        <dsp:cNvSpPr/>
      </dsp:nvSpPr>
      <dsp:spPr>
        <a:xfrm>
          <a:off x="1566462" y="2438400"/>
          <a:ext cx="2058199" cy="316080"/>
        </a:xfrm>
        <a:custGeom>
          <a:avLst/>
          <a:gdLst/>
          <a:ahLst/>
          <a:cxnLst/>
          <a:rect l="0" t="0" r="0" b="0"/>
          <a:pathLst>
            <a:path>
              <a:moveTo>
                <a:pt x="0" y="0"/>
              </a:moveTo>
              <a:lnTo>
                <a:pt x="1911185" y="0"/>
              </a:lnTo>
              <a:lnTo>
                <a:pt x="1911185" y="316080"/>
              </a:lnTo>
              <a:lnTo>
                <a:pt x="2058199" y="316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5E4DC-E2FA-4DEA-A326-01E42720FDA3}">
      <dsp:nvSpPr>
        <dsp:cNvPr id="0" name=""/>
        <dsp:cNvSpPr/>
      </dsp:nvSpPr>
      <dsp:spPr>
        <a:xfrm>
          <a:off x="1566462" y="2122319"/>
          <a:ext cx="2058199" cy="316080"/>
        </a:xfrm>
        <a:custGeom>
          <a:avLst/>
          <a:gdLst/>
          <a:ahLst/>
          <a:cxnLst/>
          <a:rect l="0" t="0" r="0" b="0"/>
          <a:pathLst>
            <a:path>
              <a:moveTo>
                <a:pt x="0" y="316080"/>
              </a:moveTo>
              <a:lnTo>
                <a:pt x="1911185" y="316080"/>
              </a:lnTo>
              <a:lnTo>
                <a:pt x="1911185" y="0"/>
              </a:lnTo>
              <a:lnTo>
                <a:pt x="20581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D029D-2B8C-4DDB-83DF-835BA5C40A6A}">
      <dsp:nvSpPr>
        <dsp:cNvPr id="0" name=""/>
        <dsp:cNvSpPr/>
      </dsp:nvSpPr>
      <dsp:spPr>
        <a:xfrm>
          <a:off x="1566462" y="1490157"/>
          <a:ext cx="2058199" cy="948242"/>
        </a:xfrm>
        <a:custGeom>
          <a:avLst/>
          <a:gdLst/>
          <a:ahLst/>
          <a:cxnLst/>
          <a:rect l="0" t="0" r="0" b="0"/>
          <a:pathLst>
            <a:path>
              <a:moveTo>
                <a:pt x="0" y="948242"/>
              </a:moveTo>
              <a:lnTo>
                <a:pt x="1911185" y="948242"/>
              </a:lnTo>
              <a:lnTo>
                <a:pt x="1911185" y="0"/>
              </a:lnTo>
              <a:lnTo>
                <a:pt x="20581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5A68C-BF3E-4FDC-B71D-5F013C75EA2C}">
      <dsp:nvSpPr>
        <dsp:cNvPr id="0" name=""/>
        <dsp:cNvSpPr/>
      </dsp:nvSpPr>
      <dsp:spPr>
        <a:xfrm>
          <a:off x="1566462" y="857996"/>
          <a:ext cx="2058199" cy="1580403"/>
        </a:xfrm>
        <a:custGeom>
          <a:avLst/>
          <a:gdLst/>
          <a:ahLst/>
          <a:cxnLst/>
          <a:rect l="0" t="0" r="0" b="0"/>
          <a:pathLst>
            <a:path>
              <a:moveTo>
                <a:pt x="0" y="1580403"/>
              </a:moveTo>
              <a:lnTo>
                <a:pt x="1911185" y="1580403"/>
              </a:lnTo>
              <a:lnTo>
                <a:pt x="1911185" y="0"/>
              </a:lnTo>
              <a:lnTo>
                <a:pt x="20581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BFA320-4210-4D2E-926F-B5374CC3153A}">
      <dsp:nvSpPr>
        <dsp:cNvPr id="0" name=""/>
        <dsp:cNvSpPr/>
      </dsp:nvSpPr>
      <dsp:spPr>
        <a:xfrm>
          <a:off x="1566462" y="225835"/>
          <a:ext cx="2058199" cy="2212564"/>
        </a:xfrm>
        <a:custGeom>
          <a:avLst/>
          <a:gdLst/>
          <a:ahLst/>
          <a:cxnLst/>
          <a:rect l="0" t="0" r="0" b="0"/>
          <a:pathLst>
            <a:path>
              <a:moveTo>
                <a:pt x="0" y="2212564"/>
              </a:moveTo>
              <a:lnTo>
                <a:pt x="1911185" y="2212564"/>
              </a:lnTo>
              <a:lnTo>
                <a:pt x="1911185" y="0"/>
              </a:lnTo>
              <a:lnTo>
                <a:pt x="20581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D94B6-78FD-49A4-B914-B00C9AC18057}">
      <dsp:nvSpPr>
        <dsp:cNvPr id="0" name=""/>
        <dsp:cNvSpPr/>
      </dsp:nvSpPr>
      <dsp:spPr>
        <a:xfrm>
          <a:off x="96319" y="2214203"/>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Dirección de Crédito Publico y Tesoro Nacional</a:t>
          </a:r>
        </a:p>
      </dsp:txBody>
      <dsp:txXfrm>
        <a:off x="96319" y="2214203"/>
        <a:ext cx="1470142" cy="448393"/>
      </dsp:txXfrm>
    </dsp:sp>
    <dsp:sp modelId="{EBE584FD-AD8A-4179-B707-3ADE66DA534B}">
      <dsp:nvSpPr>
        <dsp:cNvPr id="0" name=""/>
        <dsp:cNvSpPr/>
      </dsp:nvSpPr>
      <dsp:spPr>
        <a:xfrm>
          <a:off x="3624662" y="1638"/>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Financiamiento Interno de la Nación</a:t>
          </a:r>
        </a:p>
      </dsp:txBody>
      <dsp:txXfrm>
        <a:off x="3624662" y="1638"/>
        <a:ext cx="1470142" cy="448393"/>
      </dsp:txXfrm>
    </dsp:sp>
    <dsp:sp modelId="{3E20C04A-75F6-4324-982E-12484631C914}">
      <dsp:nvSpPr>
        <dsp:cNvPr id="0" name=""/>
        <dsp:cNvSpPr/>
      </dsp:nvSpPr>
      <dsp:spPr>
        <a:xfrm>
          <a:off x="3624662" y="633799"/>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Tesorería</a:t>
          </a:r>
        </a:p>
      </dsp:txBody>
      <dsp:txXfrm>
        <a:off x="3624662" y="633799"/>
        <a:ext cx="1470142" cy="448393"/>
      </dsp:txXfrm>
    </dsp:sp>
    <dsp:sp modelId="{6B9869F3-B770-4D08-905E-78678C298063}">
      <dsp:nvSpPr>
        <dsp:cNvPr id="0" name=""/>
        <dsp:cNvSpPr/>
      </dsp:nvSpPr>
      <dsp:spPr>
        <a:xfrm>
          <a:off x="3624662" y="1265961"/>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Financiamiento Externo de la Nación</a:t>
          </a:r>
        </a:p>
      </dsp:txBody>
      <dsp:txXfrm>
        <a:off x="3624662" y="1265961"/>
        <a:ext cx="1470142" cy="448393"/>
      </dsp:txXfrm>
    </dsp:sp>
    <dsp:sp modelId="{E1884DC9-36E9-421E-B304-107DF7D6263D}">
      <dsp:nvSpPr>
        <dsp:cNvPr id="0" name=""/>
        <dsp:cNvSpPr/>
      </dsp:nvSpPr>
      <dsp:spPr>
        <a:xfrm>
          <a:off x="3624662" y="1898122"/>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Financiamiento con Organismos Multilaterales y Gobiernos</a:t>
          </a:r>
        </a:p>
      </dsp:txBody>
      <dsp:txXfrm>
        <a:off x="3624662" y="1898122"/>
        <a:ext cx="1470142" cy="448393"/>
      </dsp:txXfrm>
    </dsp:sp>
    <dsp:sp modelId="{C08851DF-3BA9-46A2-94F7-778C07697FF4}">
      <dsp:nvSpPr>
        <dsp:cNvPr id="0" name=""/>
        <dsp:cNvSpPr/>
      </dsp:nvSpPr>
      <dsp:spPr>
        <a:xfrm>
          <a:off x="3624662" y="2530283"/>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Asociaciones Publico Privadas</a:t>
          </a:r>
        </a:p>
      </dsp:txBody>
      <dsp:txXfrm>
        <a:off x="3624662" y="2530283"/>
        <a:ext cx="1470142" cy="448393"/>
      </dsp:txXfrm>
    </dsp:sp>
    <dsp:sp modelId="{E7CF0F8C-0A35-4DA6-A77D-7E374D90D13D}">
      <dsp:nvSpPr>
        <dsp:cNvPr id="0" name=""/>
        <dsp:cNvSpPr/>
      </dsp:nvSpPr>
      <dsp:spPr>
        <a:xfrm>
          <a:off x="3624662" y="3162445"/>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Operaciones</a:t>
          </a:r>
        </a:p>
      </dsp:txBody>
      <dsp:txXfrm>
        <a:off x="3624662" y="3162445"/>
        <a:ext cx="1470142" cy="448393"/>
      </dsp:txXfrm>
    </dsp:sp>
    <dsp:sp modelId="{56D68AD8-6B40-4B77-B422-CC424FDABA04}">
      <dsp:nvSpPr>
        <dsp:cNvPr id="0" name=""/>
        <dsp:cNvSpPr/>
      </dsp:nvSpPr>
      <dsp:spPr>
        <a:xfrm>
          <a:off x="3624662" y="3794606"/>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Riesgo</a:t>
          </a:r>
        </a:p>
      </dsp:txBody>
      <dsp:txXfrm>
        <a:off x="3624662" y="3794606"/>
        <a:ext cx="1470142" cy="448393"/>
      </dsp:txXfrm>
    </dsp:sp>
    <dsp:sp modelId="{F15FE673-5228-4E50-B743-896407AEEFB1}">
      <dsp:nvSpPr>
        <dsp:cNvPr id="0" name=""/>
        <dsp:cNvSpPr/>
      </dsp:nvSpPr>
      <dsp:spPr>
        <a:xfrm>
          <a:off x="3624662" y="4426768"/>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Subdirección de Financiamiento de Otras Entidades, Seguimiento Saneamiento y Cartera.</a:t>
          </a:r>
        </a:p>
      </dsp:txBody>
      <dsp:txXfrm>
        <a:off x="3624662" y="4426768"/>
        <a:ext cx="1470142" cy="448393"/>
      </dsp:txXfrm>
    </dsp:sp>
    <dsp:sp modelId="{016F7D5E-4044-47E0-8AF2-502E18326DD6}">
      <dsp:nvSpPr>
        <dsp:cNvPr id="0" name=""/>
        <dsp:cNvSpPr/>
      </dsp:nvSpPr>
      <dsp:spPr>
        <a:xfrm>
          <a:off x="1860491" y="1898122"/>
          <a:ext cx="1470142" cy="448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Grupo de Asuntos Legales</a:t>
          </a:r>
        </a:p>
      </dsp:txBody>
      <dsp:txXfrm>
        <a:off x="1860491" y="1898122"/>
        <a:ext cx="1470142" cy="448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9F74FD-CEA5-4CE5-BDC1-F5A0C8EA4A53}">
      <dsp:nvSpPr>
        <dsp:cNvPr id="0" name=""/>
        <dsp:cNvSpPr/>
      </dsp:nvSpPr>
      <dsp:spPr>
        <a:xfrm>
          <a:off x="430" y="360427"/>
          <a:ext cx="1851975" cy="222237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s-CO" sz="1300" b="1" kern="1200">
              <a:solidFill>
                <a:srgbClr val="FFFF00"/>
              </a:solidFill>
              <a:latin typeface="Arial Narrow" panose="020B0606020202030204" pitchFamily="34" charset="0"/>
            </a:rPr>
            <a:t>Primera línea de defensa</a:t>
          </a:r>
        </a:p>
      </dsp:txBody>
      <dsp:txXfrm rot="16200000">
        <a:off x="-725543" y="1086401"/>
        <a:ext cx="1822343" cy="370395"/>
      </dsp:txXfrm>
    </dsp:sp>
    <dsp:sp modelId="{E8E3AE34-8DDC-4C96-B9A3-334BB2CB7EF4}">
      <dsp:nvSpPr>
        <dsp:cNvPr id="0" name=""/>
        <dsp:cNvSpPr/>
      </dsp:nvSpPr>
      <dsp:spPr>
        <a:xfrm>
          <a:off x="370825" y="360427"/>
          <a:ext cx="1379721" cy="22223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just" defTabSz="444500">
            <a:lnSpc>
              <a:spcPct val="90000"/>
            </a:lnSpc>
            <a:spcBef>
              <a:spcPct val="0"/>
            </a:spcBef>
            <a:spcAft>
              <a:spcPct val="35000"/>
            </a:spcAft>
            <a:buNone/>
          </a:pPr>
          <a:r>
            <a:rPr lang="es-CO" sz="1000" kern="1200">
              <a:latin typeface="Arial Narrow" panose="020B0606020202030204" pitchFamily="34" charset="0"/>
            </a:rPr>
            <a:t>Actividades identificación de riesgos y de auto control ejecutadas por los funcionarios  de cada una de las Subdirecciones.</a:t>
          </a:r>
        </a:p>
        <a:p>
          <a:pPr marL="0" lvl="0" indent="0" algn="just" defTabSz="444500">
            <a:lnSpc>
              <a:spcPct val="90000"/>
            </a:lnSpc>
            <a:spcBef>
              <a:spcPct val="0"/>
            </a:spcBef>
            <a:spcAft>
              <a:spcPct val="35000"/>
            </a:spcAft>
            <a:buNone/>
          </a:pPr>
          <a:r>
            <a:rPr lang="es-CO" sz="1000" kern="1200">
              <a:latin typeface="Arial Narrow" panose="020B0606020202030204" pitchFamily="34" charset="0"/>
            </a:rPr>
            <a:t>En cada una de las areas se define un gestor de riesgo que es el encargado de reportar a la Subdirección de Riesgo, los cambios en el riesgo operativo de cada proceso.</a:t>
          </a:r>
        </a:p>
        <a:p>
          <a:pPr marL="0" lvl="0" indent="0" algn="l" defTabSz="444500">
            <a:lnSpc>
              <a:spcPct val="90000"/>
            </a:lnSpc>
            <a:spcBef>
              <a:spcPct val="0"/>
            </a:spcBef>
            <a:spcAft>
              <a:spcPct val="35000"/>
            </a:spcAft>
            <a:buNone/>
          </a:pPr>
          <a:endParaRPr lang="es-CO" sz="500" kern="1200">
            <a:latin typeface="Arial Narrow" panose="020B0606020202030204" pitchFamily="34" charset="0"/>
          </a:endParaRPr>
        </a:p>
        <a:p>
          <a:pPr marL="0" lvl="0" indent="0" algn="l" defTabSz="444500">
            <a:lnSpc>
              <a:spcPct val="90000"/>
            </a:lnSpc>
            <a:spcBef>
              <a:spcPct val="0"/>
            </a:spcBef>
            <a:spcAft>
              <a:spcPct val="35000"/>
            </a:spcAft>
            <a:buNone/>
          </a:pPr>
          <a:r>
            <a:rPr lang="es-CO" sz="1000" kern="1200">
              <a:latin typeface="Arial Narrow" panose="020B0606020202030204" pitchFamily="34" charset="0"/>
            </a:rPr>
            <a:t>Gestión de riesgo preventiva</a:t>
          </a:r>
        </a:p>
      </dsp:txBody>
      <dsp:txXfrm>
        <a:off x="370825" y="360427"/>
        <a:ext cx="1379721" cy="2222370"/>
      </dsp:txXfrm>
    </dsp:sp>
    <dsp:sp modelId="{61A2A803-EFAA-4AF9-969D-FD6780B297EA}">
      <dsp:nvSpPr>
        <dsp:cNvPr id="0" name=""/>
        <dsp:cNvSpPr/>
      </dsp:nvSpPr>
      <dsp:spPr>
        <a:xfrm>
          <a:off x="1917224" y="360427"/>
          <a:ext cx="1851975" cy="222237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s-CO" sz="1300" b="1" kern="1200">
              <a:solidFill>
                <a:srgbClr val="FFFF00"/>
              </a:solidFill>
              <a:latin typeface="Arial Narrow" panose="020B0606020202030204" pitchFamily="34" charset="0"/>
            </a:rPr>
            <a:t>Segunda línea de defensa</a:t>
          </a:r>
        </a:p>
      </dsp:txBody>
      <dsp:txXfrm rot="16200000">
        <a:off x="1191250" y="1086401"/>
        <a:ext cx="1822343" cy="370395"/>
      </dsp:txXfrm>
    </dsp:sp>
    <dsp:sp modelId="{EF6A63F8-E3CD-4935-88C8-C27C757E5EB5}">
      <dsp:nvSpPr>
        <dsp:cNvPr id="0" name=""/>
        <dsp:cNvSpPr/>
      </dsp:nvSpPr>
      <dsp:spPr>
        <a:xfrm rot="5400000">
          <a:off x="1763100" y="2127673"/>
          <a:ext cx="326767" cy="27779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89B059-2F3B-4F1A-9B4C-39ECA36CFACD}">
      <dsp:nvSpPr>
        <dsp:cNvPr id="0" name=""/>
        <dsp:cNvSpPr/>
      </dsp:nvSpPr>
      <dsp:spPr>
        <a:xfrm>
          <a:off x="2287619" y="360427"/>
          <a:ext cx="1379721" cy="22223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just" defTabSz="444500">
            <a:lnSpc>
              <a:spcPct val="90000"/>
            </a:lnSpc>
            <a:spcBef>
              <a:spcPct val="0"/>
            </a:spcBef>
            <a:spcAft>
              <a:spcPct val="35000"/>
            </a:spcAft>
            <a:buNone/>
          </a:pPr>
          <a:r>
            <a:rPr lang="es-CO" sz="1000" kern="1200">
              <a:latin typeface="Arial Narrow" panose="020B0606020202030204" pitchFamily="34" charset="0"/>
            </a:rPr>
            <a:t>Actividades de monitoreo.</a:t>
          </a: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just" defTabSz="444500">
            <a:lnSpc>
              <a:spcPct val="90000"/>
            </a:lnSpc>
            <a:spcBef>
              <a:spcPct val="0"/>
            </a:spcBef>
            <a:spcAft>
              <a:spcPct val="35000"/>
            </a:spcAft>
            <a:buNone/>
          </a:pPr>
          <a:r>
            <a:rPr lang="es-CO" sz="1000" kern="1200">
              <a:latin typeface="Arial Narrow" panose="020B0606020202030204" pitchFamily="34" charset="0"/>
            </a:rPr>
            <a:t>La Subdirección de Riesgo  realizará el monitoreo de los controles establecidos en cada uno de los procesos, mediante visitas de campo, y monitoreo de ejecución de controles midiendo  la eficiencia y eficacia de los mismos. </a:t>
          </a: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l" defTabSz="444500">
            <a:lnSpc>
              <a:spcPct val="90000"/>
            </a:lnSpc>
            <a:spcBef>
              <a:spcPct val="0"/>
            </a:spcBef>
            <a:spcAft>
              <a:spcPct val="35000"/>
            </a:spcAft>
            <a:buNone/>
          </a:pPr>
          <a:r>
            <a:rPr lang="es-CO" sz="1000" kern="1200">
              <a:latin typeface="Arial Narrow" panose="020B0606020202030204" pitchFamily="34" charset="0"/>
            </a:rPr>
            <a:t>Gestión de riesgo preventiva</a:t>
          </a:r>
        </a:p>
      </dsp:txBody>
      <dsp:txXfrm>
        <a:off x="2287619" y="360427"/>
        <a:ext cx="1379721" cy="2222370"/>
      </dsp:txXfrm>
    </dsp:sp>
    <dsp:sp modelId="{C4C1335D-FB7D-4A64-9D7B-ECD54563CD62}">
      <dsp:nvSpPr>
        <dsp:cNvPr id="0" name=""/>
        <dsp:cNvSpPr/>
      </dsp:nvSpPr>
      <dsp:spPr>
        <a:xfrm>
          <a:off x="3834019" y="360427"/>
          <a:ext cx="1851975" cy="222237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s-CO" sz="1300" b="1" kern="1200">
              <a:solidFill>
                <a:srgbClr val="FFFF00"/>
              </a:solidFill>
              <a:latin typeface="Arial Narrow" panose="020B0606020202030204" pitchFamily="34" charset="0"/>
            </a:rPr>
            <a:t>Tercera línea de defensa</a:t>
          </a:r>
        </a:p>
      </dsp:txBody>
      <dsp:txXfrm rot="16200000">
        <a:off x="3108044" y="1086401"/>
        <a:ext cx="1822343" cy="370395"/>
      </dsp:txXfrm>
    </dsp:sp>
    <dsp:sp modelId="{2305EE12-8A2E-48DF-BF7E-75C1F0E7B31A}">
      <dsp:nvSpPr>
        <dsp:cNvPr id="0" name=""/>
        <dsp:cNvSpPr/>
      </dsp:nvSpPr>
      <dsp:spPr>
        <a:xfrm rot="5400000">
          <a:off x="3679895" y="2127673"/>
          <a:ext cx="326767" cy="27779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0BD408-EC18-4B5A-BA82-817AEAA0BF1C}">
      <dsp:nvSpPr>
        <dsp:cNvPr id="0" name=""/>
        <dsp:cNvSpPr/>
      </dsp:nvSpPr>
      <dsp:spPr>
        <a:xfrm>
          <a:off x="4204414" y="360427"/>
          <a:ext cx="1379721" cy="22223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just" defTabSz="444500">
            <a:lnSpc>
              <a:spcPct val="90000"/>
            </a:lnSpc>
            <a:spcBef>
              <a:spcPct val="0"/>
            </a:spcBef>
            <a:spcAft>
              <a:spcPct val="35000"/>
            </a:spcAft>
            <a:buNone/>
          </a:pPr>
          <a:r>
            <a:rPr lang="es-CO" sz="1000" kern="1200">
              <a:latin typeface="Arial Narrow" panose="020B0606020202030204" pitchFamily="34" charset="0"/>
            </a:rPr>
            <a:t>Evaluaciones de auditoria interna.</a:t>
          </a:r>
        </a:p>
        <a:p>
          <a:pPr marL="0" lvl="0" indent="0" algn="just" defTabSz="444500">
            <a:lnSpc>
              <a:spcPct val="90000"/>
            </a:lnSpc>
            <a:spcBef>
              <a:spcPct val="0"/>
            </a:spcBef>
            <a:spcAft>
              <a:spcPct val="35000"/>
            </a:spcAft>
            <a:buNone/>
          </a:pPr>
          <a:r>
            <a:rPr lang="es-CO" sz="1000" kern="1200">
              <a:latin typeface="Arial Narrow" panose="020B0606020202030204" pitchFamily="34" charset="0"/>
            </a:rPr>
            <a:t>el area de contraloria interna recomienda mejoras continuamente y provee una evaluación independiente.</a:t>
          </a: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l" defTabSz="444500">
            <a:lnSpc>
              <a:spcPct val="90000"/>
            </a:lnSpc>
            <a:spcBef>
              <a:spcPct val="0"/>
            </a:spcBef>
            <a:spcAft>
              <a:spcPct val="35000"/>
            </a:spcAft>
            <a:buNone/>
          </a:pPr>
          <a:endParaRPr lang="es-CO" sz="1000" kern="1200">
            <a:latin typeface="Arial Narrow" panose="020B0606020202030204" pitchFamily="34" charset="0"/>
          </a:endParaRPr>
        </a:p>
        <a:p>
          <a:pPr marL="0" lvl="0" indent="0" algn="l" defTabSz="444500">
            <a:lnSpc>
              <a:spcPct val="90000"/>
            </a:lnSpc>
            <a:spcBef>
              <a:spcPct val="0"/>
            </a:spcBef>
            <a:spcAft>
              <a:spcPct val="35000"/>
            </a:spcAft>
            <a:buNone/>
          </a:pPr>
          <a:endParaRPr lang="es-CO" sz="900" kern="1200">
            <a:latin typeface="Arial Narrow" panose="020B0606020202030204" pitchFamily="34" charset="0"/>
          </a:endParaRPr>
        </a:p>
        <a:p>
          <a:pPr marL="0" lvl="0" indent="0" algn="l" defTabSz="444500">
            <a:lnSpc>
              <a:spcPct val="90000"/>
            </a:lnSpc>
            <a:spcBef>
              <a:spcPct val="0"/>
            </a:spcBef>
            <a:spcAft>
              <a:spcPct val="35000"/>
            </a:spcAft>
            <a:buNone/>
          </a:pPr>
          <a:r>
            <a:rPr lang="es-CO" sz="1000" kern="1200">
              <a:latin typeface="Arial Narrow" panose="020B0606020202030204" pitchFamily="34" charset="0"/>
            </a:rPr>
            <a:t>Gestión de riesgo correctiva</a:t>
          </a:r>
        </a:p>
      </dsp:txBody>
      <dsp:txXfrm>
        <a:off x="4204414" y="360427"/>
        <a:ext cx="1379721" cy="22223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41450-DE20-4A5C-BDD1-52B6BF938E85}">
      <dsp:nvSpPr>
        <dsp:cNvPr id="0" name=""/>
        <dsp:cNvSpPr/>
      </dsp:nvSpPr>
      <dsp:spPr>
        <a:xfrm>
          <a:off x="421206" y="0"/>
          <a:ext cx="1204277" cy="1204338"/>
        </a:xfrm>
        <a:prstGeom prst="leftCircularArrow">
          <a:avLst>
            <a:gd name="adj1" fmla="val 10980"/>
            <a:gd name="adj2" fmla="val 1142322"/>
            <a:gd name="adj3" fmla="val 6300000"/>
            <a:gd name="adj4" fmla="val 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D0D9E-391B-4888-9859-AE8A6C5667A6}">
      <dsp:nvSpPr>
        <dsp:cNvPr id="0" name=""/>
        <dsp:cNvSpPr/>
      </dsp:nvSpPr>
      <dsp:spPr>
        <a:xfrm>
          <a:off x="685736" y="436174"/>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Todos los funcionarios</a:t>
          </a:r>
        </a:p>
      </dsp:txBody>
      <dsp:txXfrm>
        <a:off x="685736" y="436174"/>
        <a:ext cx="672055" cy="335877"/>
      </dsp:txXfrm>
    </dsp:sp>
    <dsp:sp modelId="{65149967-DCC9-41DC-974D-F078C49DC5F9}">
      <dsp:nvSpPr>
        <dsp:cNvPr id="0" name=""/>
        <dsp:cNvSpPr/>
      </dsp:nvSpPr>
      <dsp:spPr>
        <a:xfrm>
          <a:off x="755765" y="691969"/>
          <a:ext cx="1204277" cy="1204338"/>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8875DF-9DE0-47EA-8FE7-2015F49D2B3D}">
      <dsp:nvSpPr>
        <dsp:cNvPr id="0" name=""/>
        <dsp:cNvSpPr/>
      </dsp:nvSpPr>
      <dsp:spPr>
        <a:xfrm>
          <a:off x="1021651" y="1129698"/>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Gestor de riesgo</a:t>
          </a:r>
        </a:p>
      </dsp:txBody>
      <dsp:txXfrm>
        <a:off x="1021651" y="1129698"/>
        <a:ext cx="672055" cy="335877"/>
      </dsp:txXfrm>
    </dsp:sp>
    <dsp:sp modelId="{089BD4D3-0399-45A2-B5EF-E35F3194013A}">
      <dsp:nvSpPr>
        <dsp:cNvPr id="0" name=""/>
        <dsp:cNvSpPr/>
      </dsp:nvSpPr>
      <dsp:spPr>
        <a:xfrm>
          <a:off x="421206" y="1387049"/>
          <a:ext cx="1204277" cy="1204338"/>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DAA362-AA08-46DD-8D66-10C8A9D0529A}">
      <dsp:nvSpPr>
        <dsp:cNvPr id="0" name=""/>
        <dsp:cNvSpPr/>
      </dsp:nvSpPr>
      <dsp:spPr>
        <a:xfrm>
          <a:off x="685736" y="1822834"/>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Subdirector del area</a:t>
          </a:r>
        </a:p>
      </dsp:txBody>
      <dsp:txXfrm>
        <a:off x="685736" y="1822834"/>
        <a:ext cx="672055" cy="335877"/>
      </dsp:txXfrm>
    </dsp:sp>
    <dsp:sp modelId="{B1F12CA7-055F-45F5-BC5D-4B9CCB2037F6}">
      <dsp:nvSpPr>
        <dsp:cNvPr id="0" name=""/>
        <dsp:cNvSpPr/>
      </dsp:nvSpPr>
      <dsp:spPr>
        <a:xfrm>
          <a:off x="755765" y="2080185"/>
          <a:ext cx="1204277" cy="1204338"/>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9B9AAE-208B-48A8-A430-553FB073D5C4}">
      <dsp:nvSpPr>
        <dsp:cNvPr id="0" name=""/>
        <dsp:cNvSpPr/>
      </dsp:nvSpPr>
      <dsp:spPr>
        <a:xfrm>
          <a:off x="1021651" y="2516359"/>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Subdirección de Riesgo</a:t>
          </a:r>
        </a:p>
      </dsp:txBody>
      <dsp:txXfrm>
        <a:off x="1021651" y="2516359"/>
        <a:ext cx="672055" cy="335877"/>
      </dsp:txXfrm>
    </dsp:sp>
    <dsp:sp modelId="{490F47F3-A169-4139-986B-2587E145FB7E}">
      <dsp:nvSpPr>
        <dsp:cNvPr id="0" name=""/>
        <dsp:cNvSpPr/>
      </dsp:nvSpPr>
      <dsp:spPr>
        <a:xfrm>
          <a:off x="506597" y="2852236"/>
          <a:ext cx="1034626" cy="1035233"/>
        </a:xfrm>
        <a:prstGeom prst="blockArc">
          <a:avLst>
            <a:gd name="adj1" fmla="val 0"/>
            <a:gd name="adj2" fmla="val 189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B807DE-4AC4-440A-BF19-2042DE5C0B12}">
      <dsp:nvSpPr>
        <dsp:cNvPr id="0" name=""/>
        <dsp:cNvSpPr/>
      </dsp:nvSpPr>
      <dsp:spPr>
        <a:xfrm>
          <a:off x="685736" y="3209883"/>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DGCPTN</a:t>
          </a:r>
        </a:p>
      </dsp:txBody>
      <dsp:txXfrm>
        <a:off x="685736" y="3209883"/>
        <a:ext cx="672055" cy="33587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c2ac60471bac0c5a8e5ea017ba9b2431">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b07367b0fa94af7ad7845e0e17936045"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endencia xmlns="82ecf687-28d5-485b-a37e-d2c94b36a158" xsi:nil="true"/>
    <Nivel xmlns="1d121436-e6f9-4fa4-bb3f-81f41704d615">93</Nivel>
    <Idioma_x0020_Documento xmlns="82ecf687-28d5-485b-a37e-d2c94b36a158">Español</Idioma_x0020_Documento>
    <Proceso xmlns="1d121436-e6f9-4fa4-bb3f-81f41704d615">Est. 1.4 Administración, mejoramiento e innovación del SUG</Proceso>
    <Resumen_x0020_del_x0020_Documento xmlns="82ecf687-28d5-485b-a37e-d2c94b36a158" xsi:nil="true"/>
    <Macroproceso xmlns="1d121436-e6f9-4fa4-bb3f-81f41704d615">Direccionamiento Estratégico</Macroproceso>
    <Palabras_x0020_Claves xmlns="82ecf687-28d5-485b-a37e-d2c94b36a158" xsi:nil="true"/>
    <Versión_x0020_Documento xmlns="1d121436-e6f9-4fa4-bb3f-81f41704d615" xsi:nil="true"/>
    <Nivel_x0020_Macroproceso xmlns="1d121436-e6f9-4fa4-bb3f-81f41704d615" xsi:nil="true"/>
    <Fecha_x0020_del_x0020_Documento xmlns="82ecf687-28d5-485b-a37e-d2c94b36a158" xsi:nil="true"/>
    <Autores xmlns="82ecf687-28d5-485b-a37e-d2c94b36a158">
      <UserInfo>
        <DisplayName/>
        <AccountId xsi:nil="true"/>
        <AccountType/>
      </UserInfo>
    </Autores>
    <Formato_x0020_Documento xmlns="82ecf687-28d5-485b-a37e-d2c94b36a158" xsi:nil="true"/>
    <Año xmlns="1d121436-e6f9-4fa4-bb3f-81f41704d615">2010</Año>
  </documentManagement>
</p:properties>
</file>

<file path=customXml/itemProps1.xml><?xml version="1.0" encoding="utf-8"?>
<ds:datastoreItem xmlns:ds="http://schemas.openxmlformats.org/officeDocument/2006/customXml" ds:itemID="{597CF46A-2B0A-476B-9628-93C06E84B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6B20F-C45B-42D9-8FE5-B3CE1677998B}">
  <ds:schemaRefs>
    <ds:schemaRef ds:uri="http://schemas.microsoft.com/office/2006/metadata/longProperties"/>
  </ds:schemaRefs>
</ds:datastoreItem>
</file>

<file path=customXml/itemProps3.xml><?xml version="1.0" encoding="utf-8"?>
<ds:datastoreItem xmlns:ds="http://schemas.openxmlformats.org/officeDocument/2006/customXml" ds:itemID="{A4756C4F-70BC-490C-98BC-B0041637606C}">
  <ds:schemaRefs>
    <ds:schemaRef ds:uri="http://schemas.openxmlformats.org/officeDocument/2006/bibliography"/>
  </ds:schemaRefs>
</ds:datastoreItem>
</file>

<file path=customXml/itemProps4.xml><?xml version="1.0" encoding="utf-8"?>
<ds:datastoreItem xmlns:ds="http://schemas.openxmlformats.org/officeDocument/2006/customXml" ds:itemID="{DCD1EEEB-07BC-4EB7-AD16-E16DD178EBDB}">
  <ds:schemaRefs>
    <ds:schemaRef ds:uri="http://schemas.microsoft.com/sharepoint/v3/contenttype/forms"/>
  </ds:schemaRefs>
</ds:datastoreItem>
</file>

<file path=customXml/itemProps5.xml><?xml version="1.0" encoding="utf-8"?>
<ds:datastoreItem xmlns:ds="http://schemas.openxmlformats.org/officeDocument/2006/customXml" ds:itemID="{4D704CD7-57DF-425E-BD6B-4B6B54DEF1CB}">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8125</Words>
  <Characters>47952</Characters>
  <Application>Microsoft Office Word</Application>
  <DocSecurity>0</DocSecurity>
  <Lines>399</Lines>
  <Paragraphs>111</Paragraphs>
  <ScaleCrop>false</ScaleCrop>
  <HeadingPairs>
    <vt:vector size="4" baseType="variant">
      <vt:variant>
        <vt:lpstr>Título</vt:lpstr>
      </vt:variant>
      <vt:variant>
        <vt:i4>1</vt:i4>
      </vt:variant>
      <vt:variant>
        <vt:lpstr>Títulos</vt:lpstr>
      </vt:variant>
      <vt:variant>
        <vt:i4>40</vt:i4>
      </vt:variant>
    </vt:vector>
  </HeadingPairs>
  <TitlesOfParts>
    <vt:vector size="41" baseType="lpstr">
      <vt:lpstr>1</vt:lpstr>
      <vt:lpstr>INTRODUCCIÓN </vt:lpstr>
      <vt:lpstr>        Antecedentes </vt:lpstr>
      <vt:lpstr>OBJETIVO </vt:lpstr>
      <vt:lpstr>    Objetivos Específicos </vt:lpstr>
      <vt:lpstr>ALCANCE</vt:lpstr>
      <vt:lpstr>PRODUCTOS ESPERADOS </vt:lpstr>
      <vt:lpstr>TÉRMINOS Y DEFINICIONES</vt:lpstr>
      <vt:lpstr>        Riesgo Operativo</vt:lpstr>
      <vt:lpstr>        Riesgo Legal</vt:lpstr>
      <vt:lpstr>        Riesgo Reputacional</vt:lpstr>
      <vt:lpstr>        Definición de Factores de Riesgo</vt:lpstr>
      <vt:lpstr>    Directrices Generales del SARO</vt:lpstr>
      <vt:lpstr>        Responsabilidades</vt:lpstr>
      <vt:lpstr>        Reunión Técnica de Administración de Riesgos	</vt:lpstr>
      <vt:lpstr>    Políticas de Administración de Riesgo Operativo</vt:lpstr>
      <vt:lpstr>        Perfil de Riesgo</vt:lpstr>
      <vt:lpstr>        Estructura Organizacional del SARO</vt:lpstr>
      <vt:lpstr>        Política de Acceso y Administración de Usuarios </vt:lpstr>
      <vt:lpstr>        Política de Seguridad de la Información</vt:lpstr>
      <vt:lpstr>        Política de Prevención de Fraude y Corrupción</vt:lpstr>
      <vt:lpstr>        Principios de Gestión del Riesgo Operativo</vt:lpstr>
      <vt:lpstr>        Procedimiento de Gestión de Riesgo Operativo</vt:lpstr>
      <vt:lpstr>    Metodologías para la Administración de Riesgo Operativo</vt:lpstr>
      <vt:lpstr>        Procedimiento para la Identificación de Riesgos Operativos</vt:lpstr>
      <vt:lpstr>    </vt:lpstr>
      <vt:lpstr>        Medición de los riesgos operativos</vt:lpstr>
      <vt:lpstr>    Autoevaluación de Riesgos y Controles Operativos</vt:lpstr>
      <vt:lpstr>    Monitoreo de los Riesgos</vt:lpstr>
      <vt:lpstr>        Registro de Eventos de Riesgo Operativo</vt:lpstr>
      <vt:lpstr>        </vt:lpstr>
      <vt:lpstr>        Inventario de Controles</vt:lpstr>
      <vt:lpstr>        Evaluación de Controles</vt:lpstr>
      <vt:lpstr>    Indicadores Claves de Gestión</vt:lpstr>
      <vt:lpstr>    Seguros</vt:lpstr>
      <vt:lpstr>    Seguridad de la Información</vt:lpstr>
      <vt:lpstr>    Continuidad del Negocio</vt:lpstr>
      <vt:lpstr>        </vt:lpstr>
      <vt:lpstr>        </vt:lpstr>
      <vt:lpstr>HISTORIAL DE CAMBIOS</vt:lpstr>
      <vt:lpstr>APROBACIÓN</vt:lpstr>
    </vt:vector>
  </TitlesOfParts>
  <Company>Hewlett-Packard</Company>
  <LinksUpToDate>false</LinksUpToDate>
  <CharactersWithSpaces>55966</CharactersWithSpaces>
  <SharedDoc>false</SharedDoc>
  <HLinks>
    <vt:vector size="174" baseType="variant">
      <vt:variant>
        <vt:i4>1114163</vt:i4>
      </vt:variant>
      <vt:variant>
        <vt:i4>170</vt:i4>
      </vt:variant>
      <vt:variant>
        <vt:i4>0</vt:i4>
      </vt:variant>
      <vt:variant>
        <vt:i4>5</vt:i4>
      </vt:variant>
      <vt:variant>
        <vt:lpwstr/>
      </vt:variant>
      <vt:variant>
        <vt:lpwstr>_Toc528661831</vt:lpwstr>
      </vt:variant>
      <vt:variant>
        <vt:i4>1114163</vt:i4>
      </vt:variant>
      <vt:variant>
        <vt:i4>164</vt:i4>
      </vt:variant>
      <vt:variant>
        <vt:i4>0</vt:i4>
      </vt:variant>
      <vt:variant>
        <vt:i4>5</vt:i4>
      </vt:variant>
      <vt:variant>
        <vt:lpwstr/>
      </vt:variant>
      <vt:variant>
        <vt:lpwstr>_Toc528661830</vt:lpwstr>
      </vt:variant>
      <vt:variant>
        <vt:i4>1048627</vt:i4>
      </vt:variant>
      <vt:variant>
        <vt:i4>158</vt:i4>
      </vt:variant>
      <vt:variant>
        <vt:i4>0</vt:i4>
      </vt:variant>
      <vt:variant>
        <vt:i4>5</vt:i4>
      </vt:variant>
      <vt:variant>
        <vt:lpwstr/>
      </vt:variant>
      <vt:variant>
        <vt:lpwstr>_Toc528661829</vt:lpwstr>
      </vt:variant>
      <vt:variant>
        <vt:i4>1048627</vt:i4>
      </vt:variant>
      <vt:variant>
        <vt:i4>152</vt:i4>
      </vt:variant>
      <vt:variant>
        <vt:i4>0</vt:i4>
      </vt:variant>
      <vt:variant>
        <vt:i4>5</vt:i4>
      </vt:variant>
      <vt:variant>
        <vt:lpwstr/>
      </vt:variant>
      <vt:variant>
        <vt:lpwstr>_Toc528661828</vt:lpwstr>
      </vt:variant>
      <vt:variant>
        <vt:i4>1048627</vt:i4>
      </vt:variant>
      <vt:variant>
        <vt:i4>146</vt:i4>
      </vt:variant>
      <vt:variant>
        <vt:i4>0</vt:i4>
      </vt:variant>
      <vt:variant>
        <vt:i4>5</vt:i4>
      </vt:variant>
      <vt:variant>
        <vt:lpwstr/>
      </vt:variant>
      <vt:variant>
        <vt:lpwstr>_Toc528661827</vt:lpwstr>
      </vt:variant>
      <vt:variant>
        <vt:i4>1048627</vt:i4>
      </vt:variant>
      <vt:variant>
        <vt:i4>140</vt:i4>
      </vt:variant>
      <vt:variant>
        <vt:i4>0</vt:i4>
      </vt:variant>
      <vt:variant>
        <vt:i4>5</vt:i4>
      </vt:variant>
      <vt:variant>
        <vt:lpwstr/>
      </vt:variant>
      <vt:variant>
        <vt:lpwstr>_Toc528661826</vt:lpwstr>
      </vt:variant>
      <vt:variant>
        <vt:i4>1048627</vt:i4>
      </vt:variant>
      <vt:variant>
        <vt:i4>134</vt:i4>
      </vt:variant>
      <vt:variant>
        <vt:i4>0</vt:i4>
      </vt:variant>
      <vt:variant>
        <vt:i4>5</vt:i4>
      </vt:variant>
      <vt:variant>
        <vt:lpwstr/>
      </vt:variant>
      <vt:variant>
        <vt:lpwstr>_Toc528661825</vt:lpwstr>
      </vt:variant>
      <vt:variant>
        <vt:i4>1048627</vt:i4>
      </vt:variant>
      <vt:variant>
        <vt:i4>128</vt:i4>
      </vt:variant>
      <vt:variant>
        <vt:i4>0</vt:i4>
      </vt:variant>
      <vt:variant>
        <vt:i4>5</vt:i4>
      </vt:variant>
      <vt:variant>
        <vt:lpwstr/>
      </vt:variant>
      <vt:variant>
        <vt:lpwstr>_Toc528661824</vt:lpwstr>
      </vt:variant>
      <vt:variant>
        <vt:i4>1048627</vt:i4>
      </vt:variant>
      <vt:variant>
        <vt:i4>122</vt:i4>
      </vt:variant>
      <vt:variant>
        <vt:i4>0</vt:i4>
      </vt:variant>
      <vt:variant>
        <vt:i4>5</vt:i4>
      </vt:variant>
      <vt:variant>
        <vt:lpwstr/>
      </vt:variant>
      <vt:variant>
        <vt:lpwstr>_Toc528661823</vt:lpwstr>
      </vt:variant>
      <vt:variant>
        <vt:i4>1048627</vt:i4>
      </vt:variant>
      <vt:variant>
        <vt:i4>116</vt:i4>
      </vt:variant>
      <vt:variant>
        <vt:i4>0</vt:i4>
      </vt:variant>
      <vt:variant>
        <vt:i4>5</vt:i4>
      </vt:variant>
      <vt:variant>
        <vt:lpwstr/>
      </vt:variant>
      <vt:variant>
        <vt:lpwstr>_Toc528661822</vt:lpwstr>
      </vt:variant>
      <vt:variant>
        <vt:i4>1048627</vt:i4>
      </vt:variant>
      <vt:variant>
        <vt:i4>110</vt:i4>
      </vt:variant>
      <vt:variant>
        <vt:i4>0</vt:i4>
      </vt:variant>
      <vt:variant>
        <vt:i4>5</vt:i4>
      </vt:variant>
      <vt:variant>
        <vt:lpwstr/>
      </vt:variant>
      <vt:variant>
        <vt:lpwstr>_Toc528661821</vt:lpwstr>
      </vt:variant>
      <vt:variant>
        <vt:i4>1048627</vt:i4>
      </vt:variant>
      <vt:variant>
        <vt:i4>104</vt:i4>
      </vt:variant>
      <vt:variant>
        <vt:i4>0</vt:i4>
      </vt:variant>
      <vt:variant>
        <vt:i4>5</vt:i4>
      </vt:variant>
      <vt:variant>
        <vt:lpwstr/>
      </vt:variant>
      <vt:variant>
        <vt:lpwstr>_Toc528661820</vt:lpwstr>
      </vt:variant>
      <vt:variant>
        <vt:i4>1245235</vt:i4>
      </vt:variant>
      <vt:variant>
        <vt:i4>98</vt:i4>
      </vt:variant>
      <vt:variant>
        <vt:i4>0</vt:i4>
      </vt:variant>
      <vt:variant>
        <vt:i4>5</vt:i4>
      </vt:variant>
      <vt:variant>
        <vt:lpwstr/>
      </vt:variant>
      <vt:variant>
        <vt:lpwstr>_Toc528661819</vt:lpwstr>
      </vt:variant>
      <vt:variant>
        <vt:i4>1245235</vt:i4>
      </vt:variant>
      <vt:variant>
        <vt:i4>92</vt:i4>
      </vt:variant>
      <vt:variant>
        <vt:i4>0</vt:i4>
      </vt:variant>
      <vt:variant>
        <vt:i4>5</vt:i4>
      </vt:variant>
      <vt:variant>
        <vt:lpwstr/>
      </vt:variant>
      <vt:variant>
        <vt:lpwstr>_Toc528661818</vt:lpwstr>
      </vt:variant>
      <vt:variant>
        <vt:i4>1245235</vt:i4>
      </vt:variant>
      <vt:variant>
        <vt:i4>86</vt:i4>
      </vt:variant>
      <vt:variant>
        <vt:i4>0</vt:i4>
      </vt:variant>
      <vt:variant>
        <vt:i4>5</vt:i4>
      </vt:variant>
      <vt:variant>
        <vt:lpwstr/>
      </vt:variant>
      <vt:variant>
        <vt:lpwstr>_Toc528661817</vt:lpwstr>
      </vt:variant>
      <vt:variant>
        <vt:i4>1245235</vt:i4>
      </vt:variant>
      <vt:variant>
        <vt:i4>80</vt:i4>
      </vt:variant>
      <vt:variant>
        <vt:i4>0</vt:i4>
      </vt:variant>
      <vt:variant>
        <vt:i4>5</vt:i4>
      </vt:variant>
      <vt:variant>
        <vt:lpwstr/>
      </vt:variant>
      <vt:variant>
        <vt:lpwstr>_Toc528661816</vt:lpwstr>
      </vt:variant>
      <vt:variant>
        <vt:i4>1245235</vt:i4>
      </vt:variant>
      <vt:variant>
        <vt:i4>74</vt:i4>
      </vt:variant>
      <vt:variant>
        <vt:i4>0</vt:i4>
      </vt:variant>
      <vt:variant>
        <vt:i4>5</vt:i4>
      </vt:variant>
      <vt:variant>
        <vt:lpwstr/>
      </vt:variant>
      <vt:variant>
        <vt:lpwstr>_Toc528661815</vt:lpwstr>
      </vt:variant>
      <vt:variant>
        <vt:i4>1245235</vt:i4>
      </vt:variant>
      <vt:variant>
        <vt:i4>68</vt:i4>
      </vt:variant>
      <vt:variant>
        <vt:i4>0</vt:i4>
      </vt:variant>
      <vt:variant>
        <vt:i4>5</vt:i4>
      </vt:variant>
      <vt:variant>
        <vt:lpwstr/>
      </vt:variant>
      <vt:variant>
        <vt:lpwstr>_Toc528661814</vt:lpwstr>
      </vt:variant>
      <vt:variant>
        <vt:i4>1245235</vt:i4>
      </vt:variant>
      <vt:variant>
        <vt:i4>62</vt:i4>
      </vt:variant>
      <vt:variant>
        <vt:i4>0</vt:i4>
      </vt:variant>
      <vt:variant>
        <vt:i4>5</vt:i4>
      </vt:variant>
      <vt:variant>
        <vt:lpwstr/>
      </vt:variant>
      <vt:variant>
        <vt:lpwstr>_Toc528661813</vt:lpwstr>
      </vt:variant>
      <vt:variant>
        <vt:i4>1245235</vt:i4>
      </vt:variant>
      <vt:variant>
        <vt:i4>56</vt:i4>
      </vt:variant>
      <vt:variant>
        <vt:i4>0</vt:i4>
      </vt:variant>
      <vt:variant>
        <vt:i4>5</vt:i4>
      </vt:variant>
      <vt:variant>
        <vt:lpwstr/>
      </vt:variant>
      <vt:variant>
        <vt:lpwstr>_Toc528661812</vt:lpwstr>
      </vt:variant>
      <vt:variant>
        <vt:i4>1245235</vt:i4>
      </vt:variant>
      <vt:variant>
        <vt:i4>50</vt:i4>
      </vt:variant>
      <vt:variant>
        <vt:i4>0</vt:i4>
      </vt:variant>
      <vt:variant>
        <vt:i4>5</vt:i4>
      </vt:variant>
      <vt:variant>
        <vt:lpwstr/>
      </vt:variant>
      <vt:variant>
        <vt:lpwstr>_Toc528661811</vt:lpwstr>
      </vt:variant>
      <vt:variant>
        <vt:i4>1245235</vt:i4>
      </vt:variant>
      <vt:variant>
        <vt:i4>44</vt:i4>
      </vt:variant>
      <vt:variant>
        <vt:i4>0</vt:i4>
      </vt:variant>
      <vt:variant>
        <vt:i4>5</vt:i4>
      </vt:variant>
      <vt:variant>
        <vt:lpwstr/>
      </vt:variant>
      <vt:variant>
        <vt:lpwstr>_Toc528661810</vt:lpwstr>
      </vt:variant>
      <vt:variant>
        <vt:i4>1179699</vt:i4>
      </vt:variant>
      <vt:variant>
        <vt:i4>38</vt:i4>
      </vt:variant>
      <vt:variant>
        <vt:i4>0</vt:i4>
      </vt:variant>
      <vt:variant>
        <vt:i4>5</vt:i4>
      </vt:variant>
      <vt:variant>
        <vt:lpwstr/>
      </vt:variant>
      <vt:variant>
        <vt:lpwstr>_Toc528661809</vt:lpwstr>
      </vt:variant>
      <vt:variant>
        <vt:i4>1179699</vt:i4>
      </vt:variant>
      <vt:variant>
        <vt:i4>32</vt:i4>
      </vt:variant>
      <vt:variant>
        <vt:i4>0</vt:i4>
      </vt:variant>
      <vt:variant>
        <vt:i4>5</vt:i4>
      </vt:variant>
      <vt:variant>
        <vt:lpwstr/>
      </vt:variant>
      <vt:variant>
        <vt:lpwstr>_Toc528661808</vt:lpwstr>
      </vt:variant>
      <vt:variant>
        <vt:i4>1179699</vt:i4>
      </vt:variant>
      <vt:variant>
        <vt:i4>26</vt:i4>
      </vt:variant>
      <vt:variant>
        <vt:i4>0</vt:i4>
      </vt:variant>
      <vt:variant>
        <vt:i4>5</vt:i4>
      </vt:variant>
      <vt:variant>
        <vt:lpwstr/>
      </vt:variant>
      <vt:variant>
        <vt:lpwstr>_Toc528661807</vt:lpwstr>
      </vt:variant>
      <vt:variant>
        <vt:i4>1179699</vt:i4>
      </vt:variant>
      <vt:variant>
        <vt:i4>20</vt:i4>
      </vt:variant>
      <vt:variant>
        <vt:i4>0</vt:i4>
      </vt:variant>
      <vt:variant>
        <vt:i4>5</vt:i4>
      </vt:variant>
      <vt:variant>
        <vt:lpwstr/>
      </vt:variant>
      <vt:variant>
        <vt:lpwstr>_Toc528661806</vt:lpwstr>
      </vt:variant>
      <vt:variant>
        <vt:i4>1179699</vt:i4>
      </vt:variant>
      <vt:variant>
        <vt:i4>14</vt:i4>
      </vt:variant>
      <vt:variant>
        <vt:i4>0</vt:i4>
      </vt:variant>
      <vt:variant>
        <vt:i4>5</vt:i4>
      </vt:variant>
      <vt:variant>
        <vt:lpwstr/>
      </vt:variant>
      <vt:variant>
        <vt:lpwstr>_Toc528661805</vt:lpwstr>
      </vt:variant>
      <vt:variant>
        <vt:i4>1179699</vt:i4>
      </vt:variant>
      <vt:variant>
        <vt:i4>8</vt:i4>
      </vt:variant>
      <vt:variant>
        <vt:i4>0</vt:i4>
      </vt:variant>
      <vt:variant>
        <vt:i4>5</vt:i4>
      </vt:variant>
      <vt:variant>
        <vt:lpwstr/>
      </vt:variant>
      <vt:variant>
        <vt:lpwstr>_Toc528661804</vt:lpwstr>
      </vt:variant>
      <vt:variant>
        <vt:i4>1179699</vt:i4>
      </vt:variant>
      <vt:variant>
        <vt:i4>2</vt:i4>
      </vt:variant>
      <vt:variant>
        <vt:i4>0</vt:i4>
      </vt:variant>
      <vt:variant>
        <vt:i4>5</vt:i4>
      </vt:variant>
      <vt:variant>
        <vt:lpwstr/>
      </vt:variant>
      <vt:variant>
        <vt:lpwstr>_Toc528661803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Claudia Umbarila Rodriguez</cp:lastModifiedBy>
  <cp:revision>4</cp:revision>
  <cp:lastPrinted>2014-02-06T14:11:00Z</cp:lastPrinted>
  <dcterms:created xsi:type="dcterms:W3CDTF">2024-02-08T21:18:00Z</dcterms:created>
  <dcterms:modified xsi:type="dcterms:W3CDTF">2024-02-09T15:00:00Z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ies>
</file>